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99D3" w14:textId="0B6F124B" w:rsidR="09C5A023" w:rsidRPr="002478EA" w:rsidRDefault="09A0C50B" w:rsidP="293A76ED">
      <w:pPr>
        <w:pStyle w:val="GreenHeading1"/>
        <w:jc w:val="center"/>
        <w:rPr>
          <w:rFonts w:ascii="Calibri" w:eastAsia="Calibri" w:hAnsi="Calibri" w:cs="Calibri"/>
          <w:noProof w:val="0"/>
          <w:lang w:val="en-GB"/>
        </w:rPr>
      </w:pPr>
      <w:r w:rsidRPr="09A0C50B">
        <w:rPr>
          <w:rFonts w:ascii="Calibri" w:eastAsia="Calibri" w:hAnsi="Calibri" w:cs="Calibri"/>
          <w:noProof w:val="0"/>
          <w:lang w:val="en-GB"/>
        </w:rPr>
        <w:t>HDR UK Big Data for Complex Disease Driver Programme</w:t>
      </w:r>
    </w:p>
    <w:p w14:paraId="07F355D1" w14:textId="215208DE" w:rsidR="256A38B3" w:rsidRPr="002478EA" w:rsidRDefault="002478EA" w:rsidP="09C5A023">
      <w:pPr>
        <w:pStyle w:val="GreenHeading1"/>
        <w:jc w:val="center"/>
        <w:rPr>
          <w:rFonts w:asciiTheme="minorHAnsi" w:eastAsiaTheme="minorEastAsia" w:hAnsiTheme="minorHAnsi" w:cstheme="minorBidi"/>
          <w:noProof w:val="0"/>
          <w:sz w:val="36"/>
          <w:szCs w:val="36"/>
          <w:lang w:val="en-GB"/>
        </w:rPr>
      </w:pPr>
      <w:r w:rsidRPr="002478EA">
        <w:rPr>
          <w:rFonts w:asciiTheme="minorHAnsi" w:eastAsiaTheme="minorEastAsia" w:hAnsiTheme="minorHAnsi" w:cstheme="minorBidi"/>
          <w:noProof w:val="0"/>
          <w:sz w:val="36"/>
          <w:szCs w:val="36"/>
          <w:lang w:val="en-GB"/>
        </w:rPr>
        <w:t>Call for PhD project proposals</w:t>
      </w:r>
      <w:r w:rsidR="009015D8">
        <w:rPr>
          <w:rFonts w:asciiTheme="minorHAnsi" w:eastAsiaTheme="minorEastAsia" w:hAnsiTheme="minorHAnsi" w:cstheme="minorBidi"/>
          <w:noProof w:val="0"/>
          <w:sz w:val="36"/>
          <w:szCs w:val="36"/>
          <w:lang w:val="en-GB"/>
        </w:rPr>
        <w:t>.</w:t>
      </w:r>
    </w:p>
    <w:p w14:paraId="4C6B1D6E" w14:textId="7A777EBD" w:rsidR="002478EA" w:rsidRPr="002478EA" w:rsidRDefault="002478EA" w:rsidP="00DB7B9F">
      <w:pPr>
        <w:pStyle w:val="GreenHeading1"/>
        <w:numPr>
          <w:ilvl w:val="0"/>
          <w:numId w:val="18"/>
        </w:numPr>
        <w:rPr>
          <w:rFonts w:eastAsiaTheme="minorEastAsia"/>
          <w:sz w:val="28"/>
          <w:szCs w:val="28"/>
          <w:lang w:val="en-GB"/>
        </w:rPr>
      </w:pPr>
      <w:r w:rsidRPr="002478EA">
        <w:rPr>
          <w:rFonts w:eastAsiaTheme="minorEastAsia"/>
          <w:sz w:val="28"/>
          <w:szCs w:val="28"/>
          <w:lang w:val="en-GB"/>
        </w:rPr>
        <w:t>Background</w:t>
      </w:r>
    </w:p>
    <w:p w14:paraId="37F19577" w14:textId="70D3AE73" w:rsidR="007B2B5C" w:rsidRDefault="1D632876" w:rsidP="00550A66">
      <w:pPr>
        <w:spacing w:before="240" w:after="240"/>
        <w:rPr>
          <w:lang w:val="en-GB"/>
        </w:rPr>
      </w:pPr>
      <w:r w:rsidRPr="1D632876">
        <w:rPr>
          <w:lang w:val="en-GB"/>
        </w:rPr>
        <w:t>Health Data Research UK (HDR UK) commences our second 5-year phase (QQ2) from 1</w:t>
      </w:r>
      <w:r w:rsidRPr="1D632876">
        <w:rPr>
          <w:vertAlign w:val="superscript"/>
          <w:lang w:val="en-GB"/>
        </w:rPr>
        <w:t>st</w:t>
      </w:r>
      <w:r w:rsidRPr="1D632876">
        <w:rPr>
          <w:lang w:val="en-GB"/>
        </w:rPr>
        <w:t xml:space="preserve"> April 2023, and will continue to focus on its </w:t>
      </w:r>
      <w:r w:rsidRPr="1D632876">
        <w:rPr>
          <w:b/>
          <w:bCs/>
          <w:lang w:val="en-GB"/>
        </w:rPr>
        <w:t>long-term mission to unite and improve health data to enable discoveries that improve people’s lives</w:t>
      </w:r>
      <w:r w:rsidRPr="1D632876">
        <w:rPr>
          <w:lang w:val="en-GB"/>
        </w:rPr>
        <w:t xml:space="preserve"> by powering-up the UK’s major research investments with large-scale, diverse health-related data that represents the whole population. We will develop infrastructure, datasets and tools, in a trustworthy and open way, to make research faster and easier. </w:t>
      </w:r>
    </w:p>
    <w:p w14:paraId="65EE88F3" w14:textId="7A935AF2" w:rsidR="007B2B5C" w:rsidRPr="007B2B5C" w:rsidRDefault="68297107" w:rsidP="00550A66">
      <w:pPr>
        <w:spacing w:before="240" w:after="240"/>
        <w:rPr>
          <w:lang w:val="en-GB"/>
        </w:rPr>
      </w:pPr>
      <w:r w:rsidRPr="68297107">
        <w:rPr>
          <w:b/>
          <w:bCs/>
          <w:lang w:val="en-GB"/>
        </w:rPr>
        <w:t>HDR UK’s strategic ambition for the next five years</w:t>
      </w:r>
      <w:r w:rsidRPr="68297107">
        <w:rPr>
          <w:lang w:val="en-GB"/>
        </w:rPr>
        <w:t xml:space="preserve"> is to:</w:t>
      </w:r>
    </w:p>
    <w:p w14:paraId="2626F451" w14:textId="4DDAEC1D" w:rsidR="007B2B5C" w:rsidRDefault="68297107" w:rsidP="68297107">
      <w:pPr>
        <w:pStyle w:val="ListParagraph"/>
        <w:numPr>
          <w:ilvl w:val="0"/>
          <w:numId w:val="16"/>
        </w:numPr>
        <w:spacing w:before="240" w:after="240"/>
        <w:rPr>
          <w:lang w:val="en-GB"/>
        </w:rPr>
      </w:pPr>
      <w:r w:rsidRPr="68297107">
        <w:rPr>
          <w:b/>
          <w:bCs/>
          <w:lang w:val="en-GB"/>
        </w:rPr>
        <w:t>Assemble Health Data Infrastructure and Services</w:t>
      </w:r>
      <w:r w:rsidRPr="68297107">
        <w:rPr>
          <w:lang w:val="en-GB"/>
        </w:rPr>
        <w:t xml:space="preserve">: Providing UK-wide and global leadership and coordination of health data infrastructure and services required to make health-relevant data Findable, Accessible, Interoperable and </w:t>
      </w:r>
      <w:proofErr w:type="spellStart"/>
      <w:r w:rsidRPr="68297107">
        <w:rPr>
          <w:lang w:val="en-GB"/>
        </w:rPr>
        <w:t>Reuseable</w:t>
      </w:r>
      <w:proofErr w:type="spellEnd"/>
      <w:r w:rsidRPr="68297107">
        <w:rPr>
          <w:lang w:val="en-GB"/>
        </w:rPr>
        <w:t xml:space="preserve"> (FAIR).</w:t>
      </w:r>
    </w:p>
    <w:p w14:paraId="62A0FC75" w14:textId="77777777" w:rsidR="00DB7B9F" w:rsidRPr="00DB7B9F" w:rsidRDefault="00DB7B9F" w:rsidP="68297107">
      <w:pPr>
        <w:pStyle w:val="ListParagraph"/>
        <w:spacing w:before="240" w:after="240"/>
        <w:ind w:left="360"/>
        <w:rPr>
          <w:lang w:val="en-GB"/>
        </w:rPr>
      </w:pPr>
    </w:p>
    <w:p w14:paraId="63D7F7FD" w14:textId="77777777" w:rsidR="00DB7B9F" w:rsidRDefault="68297107" w:rsidP="68297107">
      <w:pPr>
        <w:pStyle w:val="ListParagraph"/>
        <w:numPr>
          <w:ilvl w:val="0"/>
          <w:numId w:val="16"/>
        </w:numPr>
        <w:spacing w:before="240" w:after="240"/>
        <w:rPr>
          <w:lang w:val="en-GB"/>
        </w:rPr>
      </w:pPr>
      <w:r w:rsidRPr="68297107">
        <w:rPr>
          <w:b/>
          <w:bCs/>
          <w:lang w:val="en-GB"/>
        </w:rPr>
        <w:t>Deliver Research Driver Programmes:</w:t>
      </w:r>
      <w:r w:rsidRPr="68297107">
        <w:rPr>
          <w:lang w:val="en-GB"/>
        </w:rPr>
        <w:t xml:space="preserve"> Advancing research discoveries through high impact UK-wide research programmes that address major health and societal challenges, guide the development of the infrastructure and services for the benefit of other researchers, and are outward-looking with global reach. Each </w:t>
      </w:r>
      <w:proofErr w:type="gramStart"/>
      <w:r w:rsidRPr="68297107">
        <w:rPr>
          <w:lang w:val="en-GB"/>
        </w:rPr>
        <w:t>5 year</w:t>
      </w:r>
      <w:proofErr w:type="gramEnd"/>
      <w:r w:rsidRPr="68297107">
        <w:rPr>
          <w:lang w:val="en-GB"/>
        </w:rPr>
        <w:t xml:space="preserve"> driver programme will include training and capacity building functions, and fund a number of PhD studentships and Fellowships.</w:t>
      </w:r>
    </w:p>
    <w:p w14:paraId="6F5198D2" w14:textId="77777777" w:rsidR="00DB7B9F" w:rsidRPr="00DB7B9F" w:rsidRDefault="00DB7B9F" w:rsidP="68297107">
      <w:pPr>
        <w:pStyle w:val="ListParagraph"/>
        <w:spacing w:before="240" w:after="240"/>
        <w:rPr>
          <w:lang w:val="en-GB"/>
        </w:rPr>
      </w:pPr>
    </w:p>
    <w:p w14:paraId="2219C739" w14:textId="7109262E" w:rsidR="00DB7B9F" w:rsidRPr="007C7E13" w:rsidRDefault="1D632876" w:rsidP="007C7E13">
      <w:pPr>
        <w:pStyle w:val="ListParagraph"/>
        <w:numPr>
          <w:ilvl w:val="0"/>
          <w:numId w:val="16"/>
        </w:numPr>
        <w:spacing w:before="240" w:after="240"/>
        <w:rPr>
          <w:lang w:val="en-GB"/>
        </w:rPr>
      </w:pPr>
      <w:r w:rsidRPr="1D632876">
        <w:rPr>
          <w:lang w:val="en-GB"/>
        </w:rPr>
        <w:t xml:space="preserve"> </w:t>
      </w:r>
      <w:r w:rsidRPr="1D632876">
        <w:rPr>
          <w:b/>
          <w:bCs/>
          <w:lang w:val="en-GB"/>
        </w:rPr>
        <w:t>Build One Institute Partnerships:</w:t>
      </w:r>
      <w:r w:rsidRPr="1D632876">
        <w:rPr>
          <w:lang w:val="en-GB"/>
        </w:rPr>
        <w:t xml:space="preserve"> Through national leadership with a clear vision and ambition to assemble an ambitious health data research ecosystem with enduring benefits for all researchers.</w:t>
      </w:r>
    </w:p>
    <w:p w14:paraId="219B726C" w14:textId="2913D7EE" w:rsidR="007B2B5C" w:rsidRPr="00117043" w:rsidRDefault="68297107" w:rsidP="68297107">
      <w:pPr>
        <w:pStyle w:val="GreenHeading1"/>
        <w:numPr>
          <w:ilvl w:val="0"/>
          <w:numId w:val="18"/>
        </w:numPr>
        <w:spacing w:before="240"/>
        <w:rPr>
          <w:rFonts w:asciiTheme="minorHAnsi" w:eastAsiaTheme="minorEastAsia" w:hAnsiTheme="minorHAnsi" w:cstheme="minorHAnsi"/>
          <w:sz w:val="32"/>
          <w:szCs w:val="32"/>
          <w:lang w:val="en-GB"/>
        </w:rPr>
      </w:pPr>
      <w:r w:rsidRPr="00117043">
        <w:rPr>
          <w:rFonts w:asciiTheme="minorHAnsi" w:eastAsiaTheme="minorEastAsia" w:hAnsiTheme="minorHAnsi" w:cstheme="minorHAnsi"/>
          <w:sz w:val="32"/>
          <w:szCs w:val="32"/>
          <w:lang w:val="en-GB"/>
        </w:rPr>
        <w:t>Big Data for Complex Disease (BDCD) Driver Programme</w:t>
      </w:r>
    </w:p>
    <w:p w14:paraId="727F41FC" w14:textId="531C1AC0" w:rsidR="007C7E13" w:rsidRDefault="09A0C50B" w:rsidP="00550A66">
      <w:pPr>
        <w:pStyle w:val="ListParagraph"/>
        <w:numPr>
          <w:ilvl w:val="0"/>
          <w:numId w:val="16"/>
        </w:numPr>
        <w:spacing w:before="240" w:after="240"/>
        <w:rPr>
          <w:lang w:val="en-GB"/>
        </w:rPr>
      </w:pPr>
      <w:r w:rsidRPr="09A0C50B">
        <w:rPr>
          <w:lang w:val="en-GB"/>
        </w:rPr>
        <w:t>The BDCD Driver Programme is led by Professor Cathie Sudlow (HDR UK) and Professor Mark Lawler (Queens University Belfast, HDR UK Northern Ireland), with a wider leadership team from across the UK.</w:t>
      </w:r>
    </w:p>
    <w:p w14:paraId="5E0BD091" w14:textId="77777777" w:rsidR="007C7E13" w:rsidRDefault="007C7E13" w:rsidP="007C7E13">
      <w:pPr>
        <w:pStyle w:val="ListParagraph"/>
        <w:spacing w:before="240" w:after="240"/>
        <w:ind w:left="360"/>
        <w:rPr>
          <w:lang w:val="en-GB"/>
        </w:rPr>
      </w:pPr>
    </w:p>
    <w:p w14:paraId="4202B55D" w14:textId="750560CB" w:rsidR="00CA2FDB" w:rsidRPr="007C7E13" w:rsidRDefault="09A0C50B" w:rsidP="00550A66">
      <w:pPr>
        <w:pStyle w:val="ListParagraph"/>
        <w:numPr>
          <w:ilvl w:val="0"/>
          <w:numId w:val="16"/>
        </w:numPr>
        <w:spacing w:before="240" w:after="240"/>
        <w:rPr>
          <w:lang w:val="en-GB"/>
        </w:rPr>
      </w:pPr>
      <w:r w:rsidRPr="09A0C50B">
        <w:rPr>
          <w:b/>
          <w:bCs/>
          <w:lang w:val="en-GB"/>
        </w:rPr>
        <w:t>This Driver Programme is launching a call for project proposals to fund up to five PhD studentships</w:t>
      </w:r>
      <w:r w:rsidRPr="09A0C50B">
        <w:rPr>
          <w:lang w:val="en-GB"/>
        </w:rPr>
        <w:t xml:space="preserve"> (</w:t>
      </w:r>
      <w:r w:rsidRPr="09A0C50B">
        <w:rPr>
          <w:i/>
          <w:iCs/>
          <w:lang w:val="en-GB"/>
        </w:rPr>
        <w:t>3 years of funding available from HDR UK, with option for an additional year funded by the host research organisation(s))</w:t>
      </w:r>
    </w:p>
    <w:p w14:paraId="2ECEE3AA" w14:textId="6A5F432E" w:rsidR="00DB7B9F" w:rsidRDefault="4A78715A" w:rsidP="00191FE6">
      <w:pPr>
        <w:pStyle w:val="ListParagraph"/>
        <w:numPr>
          <w:ilvl w:val="0"/>
          <w:numId w:val="16"/>
        </w:numPr>
        <w:spacing w:before="240" w:after="240"/>
        <w:rPr>
          <w:lang w:val="en-GB"/>
        </w:rPr>
      </w:pPr>
      <w:r w:rsidRPr="4A78715A">
        <w:rPr>
          <w:b/>
          <w:bCs/>
          <w:lang w:val="en-GB"/>
        </w:rPr>
        <w:lastRenderedPageBreak/>
        <w:t>Projects will be selected by an HDRUK convened selection committee, chaired by the BDCD co-leads,</w:t>
      </w:r>
      <w:r w:rsidRPr="4A78715A">
        <w:rPr>
          <w:lang w:val="en-GB"/>
        </w:rPr>
        <w:t xml:space="preserve"> of health data science experts who are also co-investigators on the BDCD programme and drawn from across the UK. </w:t>
      </w:r>
    </w:p>
    <w:p w14:paraId="63A12A3A" w14:textId="6F3E5CFC" w:rsidR="007C7E13" w:rsidRPr="00191FE6" w:rsidRDefault="09A0C50B" w:rsidP="00117043">
      <w:pPr>
        <w:pStyle w:val="ListParagraph"/>
        <w:numPr>
          <w:ilvl w:val="0"/>
          <w:numId w:val="16"/>
        </w:numPr>
        <w:spacing w:before="240" w:after="240"/>
        <w:rPr>
          <w:lang w:val="en-GB"/>
        </w:rPr>
      </w:pPr>
      <w:r w:rsidRPr="09A0C50B">
        <w:rPr>
          <w:lang w:val="en-GB"/>
        </w:rPr>
        <w:t xml:space="preserve">There is funding for up to five PhD studentships, however, depending on quality and breadth of applications more than five may be shortlisted and final decision on which projects will be funded will be confirmed at the student selection stage, following matching of the projects to the most suitable students. This means that if more than 5 projects shortlisted not all will receive funding. </w:t>
      </w:r>
    </w:p>
    <w:p w14:paraId="0F76F721" w14:textId="73F2CAF0" w:rsidR="00EC6660" w:rsidRPr="00DB7B9F" w:rsidRDefault="4A78715A" w:rsidP="00550A66">
      <w:pPr>
        <w:pStyle w:val="ListParagraph"/>
        <w:numPr>
          <w:ilvl w:val="0"/>
          <w:numId w:val="16"/>
        </w:numPr>
        <w:spacing w:before="240" w:after="240"/>
        <w:rPr>
          <w:lang w:val="en-GB"/>
        </w:rPr>
      </w:pPr>
      <w:r w:rsidRPr="4A78715A">
        <w:rPr>
          <w:lang w:val="en-GB"/>
        </w:rPr>
        <w:t xml:space="preserve">PhD Project proposals must be </w:t>
      </w:r>
      <w:r w:rsidRPr="4A78715A">
        <w:rPr>
          <w:b/>
          <w:bCs/>
          <w:lang w:val="en-GB"/>
        </w:rPr>
        <w:t>aligned with the aims and objectives of BDCD Research Driver Programme</w:t>
      </w:r>
      <w:r w:rsidRPr="4A78715A">
        <w:rPr>
          <w:lang w:val="en-GB"/>
        </w:rPr>
        <w:t xml:space="preserve">: </w:t>
      </w:r>
    </w:p>
    <w:p w14:paraId="71625017" w14:textId="1BB54EC6" w:rsidR="00EC6660" w:rsidRPr="00EC6660" w:rsidRDefault="68297107" w:rsidP="00550A66">
      <w:pPr>
        <w:spacing w:before="240" w:after="240"/>
        <w:rPr>
          <w:b/>
          <w:bCs/>
          <w:lang w:val="en-GB"/>
        </w:rPr>
      </w:pPr>
      <w:r w:rsidRPr="68297107">
        <w:rPr>
          <w:b/>
          <w:bCs/>
          <w:lang w:val="en-GB"/>
        </w:rPr>
        <w:t xml:space="preserve">Big Data for Complex Disease Driver programme: </w:t>
      </w:r>
      <w:proofErr w:type="gramStart"/>
      <w:r w:rsidRPr="68297107">
        <w:rPr>
          <w:b/>
          <w:bCs/>
          <w:lang w:val="en-GB"/>
        </w:rPr>
        <w:t>Aims</w:t>
      </w:r>
      <w:proofErr w:type="gramEnd"/>
    </w:p>
    <w:p w14:paraId="6122C82C" w14:textId="3F8BA07D" w:rsidR="00CA2FDB" w:rsidRDefault="68297107" w:rsidP="00550A66">
      <w:pPr>
        <w:pStyle w:val="ListParagraph"/>
        <w:spacing w:before="240" w:after="240"/>
        <w:ind w:left="0"/>
        <w:rPr>
          <w:lang w:val="en-GB"/>
        </w:rPr>
      </w:pPr>
      <w:r w:rsidRPr="68297107">
        <w:rPr>
          <w:lang w:val="en-GB"/>
        </w:rPr>
        <w:t xml:space="preserve">For a wide range of complex diseases, deriving intelligence from nationwide, multisource, linked health relevant data has the potential to yield crucial insights that accelerate and enhance opportunities for innovation in disease detection, diagnosis, treatment, improved care, better </w:t>
      </w:r>
      <w:proofErr w:type="gramStart"/>
      <w:r w:rsidRPr="68297107">
        <w:rPr>
          <w:lang w:val="en-GB"/>
        </w:rPr>
        <w:t>outcomes</w:t>
      </w:r>
      <w:proofErr w:type="gramEnd"/>
      <w:r w:rsidRPr="68297107">
        <w:rPr>
          <w:lang w:val="en-GB"/>
        </w:rPr>
        <w:t xml:space="preserve"> and more rational health policy.</w:t>
      </w:r>
    </w:p>
    <w:p w14:paraId="6B84DE8E" w14:textId="6745907B" w:rsidR="68297107" w:rsidRDefault="68297107" w:rsidP="68297107">
      <w:pPr>
        <w:pStyle w:val="ListParagraph"/>
        <w:spacing w:before="240" w:after="240"/>
        <w:ind w:left="0"/>
        <w:rPr>
          <w:lang w:val="en-GB"/>
        </w:rPr>
      </w:pPr>
    </w:p>
    <w:p w14:paraId="083F8ADB" w14:textId="55816001" w:rsidR="68297107" w:rsidRDefault="68297107" w:rsidP="00550A66">
      <w:pPr>
        <w:pStyle w:val="ListParagraph"/>
        <w:numPr>
          <w:ilvl w:val="0"/>
          <w:numId w:val="17"/>
        </w:numPr>
        <w:spacing w:before="240" w:after="240"/>
        <w:rPr>
          <w:lang w:val="en-GB"/>
        </w:rPr>
      </w:pPr>
      <w:r w:rsidRPr="68297107">
        <w:rPr>
          <w:b/>
          <w:bCs/>
          <w:lang w:val="en-GB"/>
        </w:rPr>
        <w:t>Cancer and cardiovascular diseases (CVD) are the two commonest causes of morbidity and mortality in the UK and globally, with incidence, morbidity and mortality increasing over the last several decades as the world’s population has aged.</w:t>
      </w:r>
      <w:r w:rsidRPr="68297107">
        <w:rPr>
          <w:lang w:val="en-GB"/>
        </w:rPr>
        <w:t xml:space="preserve"> Slowing these global trends requires approaches that recognise and exploit the power of whole, large population-scale health relevant data to catalyse health data science and its translation. </w:t>
      </w:r>
    </w:p>
    <w:p w14:paraId="5F4CF614" w14:textId="77777777" w:rsidR="007C7E13" w:rsidRPr="007C7E13" w:rsidRDefault="007C7E13" w:rsidP="007C7E13">
      <w:pPr>
        <w:pStyle w:val="ListParagraph"/>
        <w:spacing w:before="240" w:after="240"/>
        <w:ind w:left="360"/>
        <w:rPr>
          <w:lang w:val="en-GB"/>
        </w:rPr>
      </w:pPr>
    </w:p>
    <w:p w14:paraId="4A13C233" w14:textId="52F52806" w:rsidR="00EC6660" w:rsidRPr="007C7E13" w:rsidRDefault="68297107" w:rsidP="007C7E13">
      <w:pPr>
        <w:pStyle w:val="ListParagraph"/>
        <w:numPr>
          <w:ilvl w:val="0"/>
          <w:numId w:val="17"/>
        </w:numPr>
        <w:spacing w:before="240" w:after="240"/>
        <w:rPr>
          <w:lang w:val="en-GB"/>
        </w:rPr>
      </w:pPr>
      <w:r w:rsidRPr="007C7E13">
        <w:rPr>
          <w:b/>
          <w:bCs/>
          <w:lang w:val="en-GB"/>
        </w:rPr>
        <w:t>We also need to break down traditionally siloed disease and expertise specific domains, rising to the challenge of jointly addressing cancer, CVD, other complex diseases</w:t>
      </w:r>
      <w:r w:rsidRPr="68297107">
        <w:rPr>
          <w:lang w:val="en-GB"/>
        </w:rPr>
        <w:t>, their inter-</w:t>
      </w:r>
      <w:proofErr w:type="gramStart"/>
      <w:r w:rsidRPr="68297107">
        <w:rPr>
          <w:lang w:val="en-GB"/>
        </w:rPr>
        <w:t>relationships</w:t>
      </w:r>
      <w:proofErr w:type="gramEnd"/>
      <w:r w:rsidRPr="68297107">
        <w:rPr>
          <w:lang w:val="en-GB"/>
        </w:rPr>
        <w:t xml:space="preserve"> and their sequelae. Crucially, we need to use the intelligence gained to translate into real benefit for citizens and patients and influence national and international policy and best practice.</w:t>
      </w:r>
    </w:p>
    <w:p w14:paraId="7AA0208A" w14:textId="6BC9D0A8" w:rsidR="00EC6660" w:rsidRPr="00EC6660" w:rsidRDefault="68297107" w:rsidP="00550A66">
      <w:pPr>
        <w:spacing w:before="240" w:after="240"/>
        <w:rPr>
          <w:b/>
          <w:bCs/>
          <w:lang w:val="en-GB"/>
        </w:rPr>
      </w:pPr>
      <w:r w:rsidRPr="68297107">
        <w:rPr>
          <w:b/>
          <w:bCs/>
          <w:lang w:val="en-GB"/>
        </w:rPr>
        <w:t>Big Data for Complex Disease Driver programme: Objectives</w:t>
      </w:r>
    </w:p>
    <w:p w14:paraId="121CB418" w14:textId="6A98B612" w:rsidR="00DB7B9F" w:rsidRPr="00DB7B9F" w:rsidRDefault="68297107" w:rsidP="00550A66">
      <w:pPr>
        <w:spacing w:before="240" w:after="240"/>
        <w:rPr>
          <w:b/>
          <w:bCs/>
          <w:lang w:val="en-GB"/>
        </w:rPr>
      </w:pPr>
      <w:r w:rsidRPr="68297107">
        <w:rPr>
          <w:lang w:val="en-GB"/>
        </w:rPr>
        <w:t xml:space="preserve">The Big Data for Complex Disease (BDCD) Driver Programme will address three core challenges that focus on </w:t>
      </w:r>
      <w:r w:rsidRPr="68297107">
        <w:rPr>
          <w:b/>
          <w:bCs/>
          <w:lang w:val="en-GB"/>
        </w:rPr>
        <w:t>deploying whole population, national linked health data:</w:t>
      </w:r>
    </w:p>
    <w:p w14:paraId="25323240" w14:textId="3D92A898" w:rsidR="00EC6660" w:rsidRPr="00EC6660" w:rsidRDefault="68297107" w:rsidP="00550A66">
      <w:pPr>
        <w:pStyle w:val="ListParagraph"/>
        <w:numPr>
          <w:ilvl w:val="0"/>
          <w:numId w:val="17"/>
        </w:numPr>
        <w:spacing w:before="240" w:after="240"/>
        <w:rPr>
          <w:lang w:val="en-GB"/>
        </w:rPr>
      </w:pPr>
      <w:r w:rsidRPr="68297107">
        <w:rPr>
          <w:b/>
          <w:bCs/>
          <w:lang w:val="en-GB"/>
        </w:rPr>
        <w:t>To better predict</w:t>
      </w:r>
      <w:r w:rsidRPr="68297107">
        <w:rPr>
          <w:lang w:val="en-GB"/>
        </w:rPr>
        <w:t xml:space="preserve"> development of cancer and CVD and to stratify risk for better early detection, early diagnosis and prevention.</w:t>
      </w:r>
    </w:p>
    <w:p w14:paraId="1C57E427" w14:textId="77777777" w:rsidR="00EC6660" w:rsidRDefault="68297107" w:rsidP="00550A66">
      <w:pPr>
        <w:pStyle w:val="ListParagraph"/>
        <w:numPr>
          <w:ilvl w:val="0"/>
          <w:numId w:val="17"/>
        </w:numPr>
        <w:spacing w:before="240" w:after="240"/>
        <w:rPr>
          <w:lang w:val="en-GB"/>
        </w:rPr>
      </w:pPr>
      <w:r w:rsidRPr="68297107">
        <w:rPr>
          <w:b/>
          <w:bCs/>
          <w:lang w:val="en-GB"/>
        </w:rPr>
        <w:t>To improve understanding of the inter-relationship between</w:t>
      </w:r>
      <w:r w:rsidRPr="68297107">
        <w:rPr>
          <w:lang w:val="en-GB"/>
        </w:rPr>
        <w:t xml:space="preserve"> these complex diseases to ensure that data-driven insights fully inform strategies for the prevention, early diagnosis and management of both treatment sequelae and long-term risk.</w:t>
      </w:r>
    </w:p>
    <w:p w14:paraId="793CFB4C" w14:textId="3AE074A0" w:rsidR="002478EA" w:rsidRPr="00EC6660" w:rsidRDefault="68297107" w:rsidP="00550A66">
      <w:pPr>
        <w:pStyle w:val="ListParagraph"/>
        <w:numPr>
          <w:ilvl w:val="0"/>
          <w:numId w:val="17"/>
        </w:numPr>
        <w:spacing w:before="240" w:after="240"/>
        <w:rPr>
          <w:lang w:val="en-GB"/>
        </w:rPr>
      </w:pPr>
      <w:r w:rsidRPr="68297107">
        <w:rPr>
          <w:b/>
          <w:bCs/>
          <w:lang w:val="en-GB"/>
        </w:rPr>
        <w:t>To examine and better understand the impact of inequalities</w:t>
      </w:r>
      <w:r w:rsidRPr="68297107">
        <w:rPr>
          <w:lang w:val="en-GB"/>
        </w:rPr>
        <w:t xml:space="preserve"> to influence and mitigate the negative impacts on incidence and outcomes associated with age, gender, ethnicity, geography and deprivation.</w:t>
      </w:r>
    </w:p>
    <w:p w14:paraId="7835C66C" w14:textId="5ECBD7F7" w:rsidR="007B2B5C" w:rsidRPr="00DB7B9F" w:rsidRDefault="007B2B5C" w:rsidP="00550A66">
      <w:pPr>
        <w:ind w:left="360"/>
        <w:rPr>
          <w:lang w:val="en-GB"/>
        </w:rPr>
      </w:pPr>
    </w:p>
    <w:p w14:paraId="29705BB8" w14:textId="002EAE9A" w:rsidR="00DB7B9F" w:rsidRPr="00117043" w:rsidRDefault="68297107" w:rsidP="68297107">
      <w:pPr>
        <w:pStyle w:val="GreenHeading1"/>
        <w:numPr>
          <w:ilvl w:val="0"/>
          <w:numId w:val="18"/>
        </w:numPr>
        <w:spacing w:before="240"/>
        <w:rPr>
          <w:rFonts w:ascii="Calibri" w:eastAsiaTheme="minorEastAsia" w:hAnsi="Calibri" w:cs="Calibri"/>
          <w:sz w:val="32"/>
          <w:szCs w:val="32"/>
          <w:lang w:val="en-GB"/>
        </w:rPr>
      </w:pPr>
      <w:r w:rsidRPr="00117043">
        <w:rPr>
          <w:rFonts w:ascii="Calibri" w:eastAsiaTheme="minorEastAsia" w:hAnsi="Calibri" w:cs="Calibri"/>
          <w:sz w:val="32"/>
          <w:szCs w:val="32"/>
          <w:lang w:val="en-GB"/>
        </w:rPr>
        <w:t>Funding criteria</w:t>
      </w:r>
    </w:p>
    <w:p w14:paraId="5D28EBD9" w14:textId="468213A7" w:rsidR="00DB7B9F" w:rsidRDefault="680DB01B" w:rsidP="00550A66">
      <w:pPr>
        <w:pStyle w:val="ListParagraph"/>
        <w:numPr>
          <w:ilvl w:val="0"/>
          <w:numId w:val="19"/>
        </w:numPr>
        <w:rPr>
          <w:lang w:val="en-GB"/>
        </w:rPr>
      </w:pPr>
      <w:r w:rsidRPr="680DB01B">
        <w:rPr>
          <w:b/>
          <w:bCs/>
          <w:lang w:val="en-GB"/>
        </w:rPr>
        <w:t>Project:</w:t>
      </w:r>
      <w:r w:rsidRPr="680DB01B">
        <w:rPr>
          <w:lang w:val="en-GB"/>
        </w:rPr>
        <w:t xml:space="preserve">  Each project proposal will be rated on scientific excellence, but also on its importance, originality, feasibility, and alignment with the BDCD programme (+/- other HDR UK research driver programmes – </w:t>
      </w:r>
      <w:r w:rsidRPr="680DB01B">
        <w:rPr>
          <w:i/>
          <w:iCs/>
          <w:lang w:val="en-GB"/>
        </w:rPr>
        <w:t xml:space="preserve">see Appendix A), </w:t>
      </w:r>
      <w:r w:rsidRPr="680DB01B">
        <w:rPr>
          <w:lang w:val="en-GB"/>
        </w:rPr>
        <w:t>including aim to exploit key population-wide linked multisource data enabled by the programme. Provided there are applications of sufficiently competitive quality and co-funding arrangements can be developed with other driver programmes, we are also keen to award studentships for projects which explicitly bridge across the BDCD programme and one or more other HDR UK programmes.</w:t>
      </w:r>
    </w:p>
    <w:p w14:paraId="21D12D47" w14:textId="77777777" w:rsidR="00C36BB6" w:rsidRPr="00DB7B9F" w:rsidRDefault="00C36BB6" w:rsidP="00550A66">
      <w:pPr>
        <w:pStyle w:val="ListParagraph"/>
        <w:rPr>
          <w:lang w:val="en-GB"/>
        </w:rPr>
      </w:pPr>
    </w:p>
    <w:p w14:paraId="05ECD401" w14:textId="0738BAEC" w:rsidR="00DB7B9F" w:rsidRDefault="09A0C50B" w:rsidP="00550A66">
      <w:pPr>
        <w:pStyle w:val="ListParagraph"/>
        <w:numPr>
          <w:ilvl w:val="0"/>
          <w:numId w:val="19"/>
        </w:numPr>
        <w:rPr>
          <w:lang w:val="en-GB"/>
        </w:rPr>
      </w:pPr>
      <w:r w:rsidRPr="09A0C50B">
        <w:rPr>
          <w:b/>
          <w:bCs/>
          <w:lang w:val="en-GB"/>
        </w:rPr>
        <w:t>Supervisory team</w:t>
      </w:r>
      <w:r w:rsidRPr="09A0C50B">
        <w:rPr>
          <w:lang w:val="en-GB"/>
        </w:rPr>
        <w:t>: Expertise, experience and time commitment from supervisory team, which must include a primary supervisor based at a UK-based, degree-awarding research organisation / university with capabilities to support health data research, and at least one secondary supervisor based at another research organisation / university. Within these arrangements, joint supervision will be encouraged. It is expected that employment contracts of the supervisory team will extend beyond the duration of the PhD programme.</w:t>
      </w:r>
    </w:p>
    <w:p w14:paraId="5DE8711C" w14:textId="77777777" w:rsidR="00C36BB6" w:rsidRPr="00DB7B9F" w:rsidRDefault="00C36BB6" w:rsidP="00550A66">
      <w:pPr>
        <w:pStyle w:val="ListParagraph"/>
        <w:rPr>
          <w:lang w:val="en-GB"/>
        </w:rPr>
      </w:pPr>
    </w:p>
    <w:p w14:paraId="17FF07EB" w14:textId="4FE95786" w:rsidR="00CA2FDB" w:rsidRDefault="09A0C50B" w:rsidP="00550A66">
      <w:pPr>
        <w:pStyle w:val="ListParagraph"/>
        <w:numPr>
          <w:ilvl w:val="0"/>
          <w:numId w:val="19"/>
        </w:numPr>
        <w:rPr>
          <w:lang w:val="en-GB"/>
        </w:rPr>
      </w:pPr>
      <w:r w:rsidRPr="09A0C50B">
        <w:rPr>
          <w:b/>
          <w:bCs/>
          <w:lang w:val="en-GB"/>
        </w:rPr>
        <w:t>Host research organisation(s):</w:t>
      </w:r>
      <w:r w:rsidRPr="09A0C50B">
        <w:rPr>
          <w:lang w:val="en-GB"/>
        </w:rPr>
        <w:t xml:space="preserve"> Able to offer excellent training and career development opportunities and environment for the student. Track record of attracting and supporting excellent PhD student applicants from health data science backgrounds from award of studentship through to completion of PhD and successful onward career. Students will be hosted by one research organisation throughout the studentship but may spend part of the studentship as a ‘visiting student’ to other HDR UK affiliated research organisation/s whose HDR UK programmes of work are aligned to the BDCD Driver Programme.   Primary host organisation must have mechanisms in place to enrol the student for and award a higher degree (e.g., PhD, MD), and be able to provide students and fellows a training environment that nurtures and develops open and team science principles.</w:t>
      </w:r>
    </w:p>
    <w:p w14:paraId="7824D668" w14:textId="77777777" w:rsidR="00C36BB6" w:rsidRPr="00C36BB6" w:rsidRDefault="00C36BB6" w:rsidP="00550A66">
      <w:pPr>
        <w:rPr>
          <w:lang w:val="en-GB"/>
        </w:rPr>
      </w:pPr>
    </w:p>
    <w:p w14:paraId="7B380C1C" w14:textId="245B3DB8" w:rsidR="68297107" w:rsidRPr="00550A66" w:rsidRDefault="680DB01B" w:rsidP="00550A66">
      <w:pPr>
        <w:pStyle w:val="ListParagraph"/>
        <w:numPr>
          <w:ilvl w:val="0"/>
          <w:numId w:val="20"/>
        </w:numPr>
        <w:rPr>
          <w:lang w:val="en-GB"/>
        </w:rPr>
      </w:pPr>
      <w:r w:rsidRPr="680DB01B">
        <w:rPr>
          <w:b/>
          <w:bCs/>
          <w:lang w:val="en-GB"/>
        </w:rPr>
        <w:t xml:space="preserve">Host organisation(s) must be signatories to the HDR UK Institute Agreement, or a part of a Consortium Agreement subject to the Institute </w:t>
      </w:r>
      <w:r w:rsidR="00117043" w:rsidRPr="680DB01B">
        <w:rPr>
          <w:b/>
          <w:bCs/>
          <w:lang w:val="en-GB"/>
        </w:rPr>
        <w:t>Agreement and</w:t>
      </w:r>
      <w:r w:rsidRPr="680DB01B">
        <w:rPr>
          <w:lang w:val="en-GB"/>
        </w:rPr>
        <w:t xml:space="preserve"> will be responsible for meeting the costs of PhD tuition fees </w:t>
      </w:r>
      <w:r w:rsidRPr="680DB01B">
        <w:rPr>
          <w:i/>
          <w:iCs/>
          <w:lang w:val="en-GB"/>
        </w:rPr>
        <w:t xml:space="preserve">(see Section 4). </w:t>
      </w:r>
      <w:r w:rsidRPr="680DB01B">
        <w:rPr>
          <w:lang w:val="en-GB"/>
        </w:rPr>
        <w:t xml:space="preserve">The Award Letter for the project will be issued subject to the terms and conditions of the Institute Agreement. </w:t>
      </w:r>
    </w:p>
    <w:p w14:paraId="71599AD5" w14:textId="507F28FF" w:rsidR="68297107" w:rsidRDefault="68297107" w:rsidP="00550A66">
      <w:pPr>
        <w:rPr>
          <w:lang w:val="en-GB"/>
        </w:rPr>
      </w:pPr>
    </w:p>
    <w:p w14:paraId="1244861B" w14:textId="34380F13" w:rsidR="009015D8" w:rsidRPr="009015D8" w:rsidRDefault="680DB01B" w:rsidP="00550A66">
      <w:pPr>
        <w:pStyle w:val="ListParagraph"/>
        <w:numPr>
          <w:ilvl w:val="0"/>
          <w:numId w:val="20"/>
        </w:numPr>
        <w:rPr>
          <w:lang w:val="en-GB"/>
        </w:rPr>
      </w:pPr>
      <w:r w:rsidRPr="680DB01B">
        <w:rPr>
          <w:b/>
          <w:bCs/>
          <w:lang w:val="en-GB"/>
        </w:rPr>
        <w:t xml:space="preserve">The latest studentships can start will be March 2024. </w:t>
      </w:r>
      <w:r w:rsidRPr="680DB01B">
        <w:rPr>
          <w:lang w:val="en-GB"/>
        </w:rPr>
        <w:t>However, preference is for October 2023 start where possible.</w:t>
      </w:r>
    </w:p>
    <w:p w14:paraId="3CA747B8" w14:textId="453D3F55" w:rsidR="007B2B5C" w:rsidRDefault="007B2B5C" w:rsidP="68297107">
      <w:pPr>
        <w:rPr>
          <w:lang w:val="en-GB"/>
        </w:rPr>
      </w:pPr>
    </w:p>
    <w:p w14:paraId="6F9ACB00" w14:textId="6464055B" w:rsidR="009D4EC6" w:rsidRPr="00117043" w:rsidRDefault="009D4EC6" w:rsidP="00191FE6">
      <w:pPr>
        <w:pStyle w:val="GreenHeading1"/>
        <w:numPr>
          <w:ilvl w:val="0"/>
          <w:numId w:val="18"/>
        </w:numPr>
        <w:spacing w:before="240"/>
        <w:rPr>
          <w:rFonts w:asciiTheme="minorHAnsi" w:eastAsiaTheme="minorEastAsia" w:hAnsiTheme="minorHAnsi" w:cstheme="minorHAnsi"/>
          <w:sz w:val="32"/>
          <w:szCs w:val="32"/>
          <w:lang w:val="en-GB"/>
        </w:rPr>
      </w:pPr>
      <w:r w:rsidRPr="00117043">
        <w:rPr>
          <w:rFonts w:asciiTheme="minorHAnsi" w:eastAsiaTheme="minorEastAsia" w:hAnsiTheme="minorHAnsi" w:cstheme="minorHAnsi"/>
          <w:sz w:val="32"/>
          <w:szCs w:val="32"/>
          <w:lang w:val="en-GB"/>
        </w:rPr>
        <w:lastRenderedPageBreak/>
        <w:t>Student Selection</w:t>
      </w:r>
    </w:p>
    <w:p w14:paraId="3A9D8C21" w14:textId="65A727D6" w:rsidR="00D85ADB" w:rsidRPr="00D85ADB" w:rsidRDefault="09A0C50B" w:rsidP="09A0C50B">
      <w:pPr>
        <w:pStyle w:val="ListParagraph"/>
        <w:numPr>
          <w:ilvl w:val="0"/>
          <w:numId w:val="28"/>
        </w:numPr>
        <w:rPr>
          <w:rFonts w:eastAsiaTheme="minorEastAsia"/>
          <w:lang w:val="en-GB"/>
        </w:rPr>
      </w:pPr>
      <w:r w:rsidRPr="09A0C50B">
        <w:rPr>
          <w:b/>
          <w:bCs/>
          <w:lang w:val="en-GB"/>
        </w:rPr>
        <w:t>After the projects are selected, a rapid competition to recruit students to each project will then be launched via HDR UK.</w:t>
      </w:r>
      <w:r w:rsidRPr="09A0C50B">
        <w:rPr>
          <w:lang w:val="en-GB"/>
        </w:rPr>
        <w:t xml:space="preserve">  </w:t>
      </w:r>
    </w:p>
    <w:p w14:paraId="3C4CFA41" w14:textId="7B6409FD" w:rsidR="00191FE6" w:rsidRPr="007C7E13" w:rsidRDefault="680DB01B" w:rsidP="680DB01B">
      <w:pPr>
        <w:pStyle w:val="ListParagraph"/>
        <w:numPr>
          <w:ilvl w:val="0"/>
          <w:numId w:val="28"/>
        </w:numPr>
        <w:rPr>
          <w:rFonts w:eastAsiaTheme="minorEastAsia"/>
          <w:lang w:val="en-GB"/>
        </w:rPr>
      </w:pPr>
      <w:r w:rsidRPr="680DB01B">
        <w:rPr>
          <w:lang w:val="en-GB"/>
        </w:rPr>
        <w:t>HDR UK will advertise the PhD studentship opportunities for the successful projects via the HDR UK website, disseminating widely to the HDR UK community. Host organisations for successful projects should also advertise the opportunities within their organisations, networks and via their usual organisation studentship advertising processes. The application form for students will be available via the HDRUK website and application administration managed by HDRUK.</w:t>
      </w:r>
    </w:p>
    <w:p w14:paraId="024715F0" w14:textId="77777777" w:rsidR="007C7E13" w:rsidRPr="007C7E13" w:rsidRDefault="007C7E13" w:rsidP="007C7E13">
      <w:pPr>
        <w:rPr>
          <w:rFonts w:eastAsiaTheme="minorEastAsia"/>
          <w:lang w:val="en-GB"/>
        </w:rPr>
      </w:pPr>
    </w:p>
    <w:p w14:paraId="31D59527" w14:textId="0BC5C70A" w:rsidR="00191FE6" w:rsidRPr="007C7E13" w:rsidRDefault="680DB01B" w:rsidP="680DB01B">
      <w:pPr>
        <w:pStyle w:val="ListParagraph"/>
        <w:numPr>
          <w:ilvl w:val="0"/>
          <w:numId w:val="28"/>
        </w:numPr>
        <w:rPr>
          <w:rFonts w:eastAsiaTheme="minorEastAsia"/>
          <w:lang w:val="en-GB"/>
        </w:rPr>
      </w:pPr>
      <w:r w:rsidRPr="680DB01B">
        <w:rPr>
          <w:b/>
          <w:bCs/>
          <w:lang w:val="en-GB"/>
        </w:rPr>
        <w:t xml:space="preserve">The selection committee will include the primary supervisor of each project (or their nominated deputy) and the co-leads of the BDCD driver programme (or their nominated deputies). </w:t>
      </w:r>
      <w:r w:rsidRPr="680DB01B">
        <w:rPr>
          <w:lang w:val="en-GB"/>
        </w:rPr>
        <w:t xml:space="preserve"> The co-leads will chair the student shortlisting, interview and selection process and will have the right to veto the selection and award of funding to any student who, in their judgement, is unlikely to deliver their project at a sufficient level of quality to benefit the BDCD programme.</w:t>
      </w:r>
    </w:p>
    <w:p w14:paraId="3993EF71" w14:textId="77777777" w:rsidR="007C7E13" w:rsidRPr="00D85ADB" w:rsidRDefault="007C7E13" w:rsidP="007C7E13">
      <w:pPr>
        <w:pStyle w:val="ListParagraph"/>
        <w:rPr>
          <w:rFonts w:eastAsiaTheme="minorEastAsia"/>
          <w:lang w:val="en-GB"/>
        </w:rPr>
      </w:pPr>
    </w:p>
    <w:p w14:paraId="5F99E612" w14:textId="45700EBE" w:rsidR="00D85ADB" w:rsidRPr="00117043" w:rsidRDefault="09A0C50B" w:rsidP="09A0C50B">
      <w:pPr>
        <w:pStyle w:val="ListParagraph"/>
        <w:numPr>
          <w:ilvl w:val="0"/>
          <w:numId w:val="28"/>
        </w:numPr>
        <w:rPr>
          <w:rFonts w:eastAsiaTheme="minorEastAsia"/>
          <w:lang w:val="en-GB"/>
        </w:rPr>
      </w:pPr>
      <w:r w:rsidRPr="09A0C50B">
        <w:rPr>
          <w:b/>
          <w:bCs/>
          <w:lang w:val="en-GB"/>
        </w:rPr>
        <w:t>Our aim is that the HDRUK selection panel interview will be considered the single, formal interview for each student. Applicants are therefore requested to confirm with their research organisations that an additional interview will not be expected as part of the admission process at that organisation</w:t>
      </w:r>
      <w:r w:rsidRPr="09A0C50B">
        <w:rPr>
          <w:lang w:val="en-GB"/>
        </w:rPr>
        <w:t xml:space="preserve">. To ensure that the selection of each student fulfils the requirements of the relevant host </w:t>
      </w:r>
      <w:r w:rsidR="00117043" w:rsidRPr="09A0C50B">
        <w:rPr>
          <w:lang w:val="en-GB"/>
        </w:rPr>
        <w:t>organisation, a</w:t>
      </w:r>
      <w:r w:rsidRPr="09A0C50B">
        <w:rPr>
          <w:lang w:val="en-GB"/>
        </w:rPr>
        <w:t xml:space="preserve"> representative of the postgraduate office from each relevant research organisation will be invited to join the selection panel as an observer and will have the right to veto the selection of any student who does not fulfil the requirements for their host organisation</w:t>
      </w:r>
      <w:r w:rsidR="00117043" w:rsidRPr="00117043">
        <w:rPr>
          <w:rFonts w:eastAsiaTheme="minorEastAsia"/>
          <w:lang w:val="en-GB"/>
        </w:rPr>
        <w:t>.</w:t>
      </w:r>
    </w:p>
    <w:p w14:paraId="63A2728C" w14:textId="77777777" w:rsidR="00117043" w:rsidRPr="00117043" w:rsidRDefault="00117043" w:rsidP="00117043">
      <w:pPr>
        <w:rPr>
          <w:rFonts w:eastAsiaTheme="minorEastAsia"/>
          <w:lang w:val="en-GB"/>
        </w:rPr>
      </w:pPr>
    </w:p>
    <w:p w14:paraId="4A6ED1D2" w14:textId="1E1C1BA1" w:rsidR="00117043" w:rsidRDefault="09A0C50B" w:rsidP="00117043">
      <w:pPr>
        <w:pStyle w:val="ListParagraph"/>
        <w:numPr>
          <w:ilvl w:val="0"/>
          <w:numId w:val="28"/>
        </w:numPr>
        <w:rPr>
          <w:rFonts w:eastAsiaTheme="minorEastAsia"/>
          <w:lang w:val="en-GB"/>
        </w:rPr>
      </w:pPr>
      <w:r w:rsidRPr="09A0C50B">
        <w:rPr>
          <w:rFonts w:eastAsiaTheme="minorEastAsia"/>
          <w:lang w:val="en-GB"/>
        </w:rPr>
        <w:t>A conditional offer will be made to successful student applicants after the selection panel.</w:t>
      </w:r>
    </w:p>
    <w:p w14:paraId="7A31F4E3" w14:textId="77777777" w:rsidR="00117043" w:rsidRPr="00117043" w:rsidRDefault="00117043" w:rsidP="00117043">
      <w:pPr>
        <w:pStyle w:val="ListParagraph"/>
        <w:rPr>
          <w:rFonts w:eastAsiaTheme="minorEastAsia"/>
          <w:lang w:val="en-GB"/>
        </w:rPr>
      </w:pPr>
    </w:p>
    <w:p w14:paraId="375CB253" w14:textId="77777777" w:rsidR="00117043" w:rsidRPr="00117043" w:rsidRDefault="00117043" w:rsidP="00117043">
      <w:pPr>
        <w:pStyle w:val="ListParagraph"/>
        <w:rPr>
          <w:rFonts w:eastAsiaTheme="minorEastAsia"/>
          <w:lang w:val="en-GB"/>
        </w:rPr>
      </w:pPr>
    </w:p>
    <w:p w14:paraId="372216E8" w14:textId="5D4D6AA1" w:rsidR="00191FE6" w:rsidRDefault="680DB01B" w:rsidP="007C7E13">
      <w:pPr>
        <w:pStyle w:val="ListParagraph"/>
        <w:numPr>
          <w:ilvl w:val="0"/>
          <w:numId w:val="28"/>
        </w:numPr>
        <w:spacing w:before="240" w:after="240"/>
        <w:rPr>
          <w:lang w:val="en-GB"/>
        </w:rPr>
      </w:pPr>
      <w:r w:rsidRPr="680DB01B">
        <w:rPr>
          <w:lang w:val="en-GB"/>
        </w:rPr>
        <w:t xml:space="preserve">The Host Organisation will be responsible for ensuring </w:t>
      </w:r>
      <w:r w:rsidR="002B55DA">
        <w:rPr>
          <w:lang w:val="en-GB"/>
        </w:rPr>
        <w:t xml:space="preserve">that </w:t>
      </w:r>
      <w:r w:rsidRPr="680DB01B">
        <w:rPr>
          <w:lang w:val="en-GB"/>
        </w:rPr>
        <w:t>the selected students are eligible for admission to the relevant PhD programme at their organisation, managing enrolment process, and for putting in place any agreements with the student that may be necessary to ensure the student’s compliance with the terms of funding as set out in the award letter.</w:t>
      </w:r>
    </w:p>
    <w:p w14:paraId="7E00829E" w14:textId="77777777" w:rsidR="00117043" w:rsidRPr="007C7E13" w:rsidRDefault="00117043" w:rsidP="00117043">
      <w:pPr>
        <w:pStyle w:val="ListParagraph"/>
        <w:spacing w:before="240" w:after="240"/>
        <w:rPr>
          <w:lang w:val="en-GB"/>
        </w:rPr>
      </w:pPr>
    </w:p>
    <w:p w14:paraId="1DF5CE81" w14:textId="22A5ED4D" w:rsidR="00117043" w:rsidRDefault="09A0C50B" w:rsidP="00117043">
      <w:pPr>
        <w:pStyle w:val="ListParagraph"/>
        <w:numPr>
          <w:ilvl w:val="0"/>
          <w:numId w:val="28"/>
        </w:numPr>
        <w:spacing w:before="240" w:after="240"/>
        <w:rPr>
          <w:lang w:val="en-GB"/>
        </w:rPr>
      </w:pPr>
      <w:r w:rsidRPr="09A0C50B">
        <w:rPr>
          <w:lang w:val="en-GB"/>
        </w:rPr>
        <w:t xml:space="preserve">Award letters will be issued to successful Host Organisations with both a project and student selected to undertake the project. </w:t>
      </w:r>
    </w:p>
    <w:p w14:paraId="1525D556" w14:textId="77777777" w:rsidR="00117043" w:rsidRPr="00117043" w:rsidRDefault="00117043" w:rsidP="00117043">
      <w:pPr>
        <w:pStyle w:val="ListParagraph"/>
        <w:rPr>
          <w:lang w:val="en-GB"/>
        </w:rPr>
      </w:pPr>
    </w:p>
    <w:p w14:paraId="528D6343" w14:textId="77777777" w:rsidR="00117043" w:rsidRPr="00117043" w:rsidRDefault="00117043" w:rsidP="00117043">
      <w:pPr>
        <w:pStyle w:val="ListParagraph"/>
        <w:spacing w:before="240" w:after="240"/>
        <w:rPr>
          <w:lang w:val="en-GB"/>
        </w:rPr>
      </w:pPr>
    </w:p>
    <w:p w14:paraId="2AB4E452" w14:textId="77777777" w:rsidR="00117043" w:rsidRPr="00117043" w:rsidRDefault="09A0C50B" w:rsidP="00117043">
      <w:pPr>
        <w:pStyle w:val="ListParagraph"/>
        <w:numPr>
          <w:ilvl w:val="0"/>
          <w:numId w:val="28"/>
        </w:numPr>
        <w:spacing w:before="240" w:after="240"/>
        <w:rPr>
          <w:lang w:val="en-GB"/>
        </w:rPr>
      </w:pPr>
      <w:r w:rsidRPr="00117043">
        <w:t>Following signature of the award letters, the Host Organisations shall make an , unconditional offer ifor postgraduate study to the selected student</w:t>
      </w:r>
    </w:p>
    <w:p w14:paraId="151467C6" w14:textId="32ED4EF3" w:rsidR="4A78715A" w:rsidRPr="00117043" w:rsidRDefault="09A0C50B" w:rsidP="00117043">
      <w:pPr>
        <w:pStyle w:val="GreenHeading1"/>
        <w:numPr>
          <w:ilvl w:val="0"/>
          <w:numId w:val="18"/>
        </w:numPr>
        <w:rPr>
          <w:rFonts w:ascii="Calibri" w:eastAsiaTheme="minorHAnsi" w:hAnsi="Calibri" w:cs="Calibri"/>
          <w:sz w:val="32"/>
          <w:szCs w:val="32"/>
          <w:lang w:val="en-GB"/>
        </w:rPr>
      </w:pPr>
      <w:r w:rsidRPr="00117043">
        <w:rPr>
          <w:rFonts w:ascii="Calibri" w:eastAsiaTheme="minorEastAsia" w:hAnsi="Calibri" w:cs="Calibri"/>
          <w:sz w:val="32"/>
          <w:szCs w:val="32"/>
          <w:lang w:val="en-GB"/>
        </w:rPr>
        <w:lastRenderedPageBreak/>
        <w:t>Funding available</w:t>
      </w:r>
    </w:p>
    <w:p w14:paraId="18304DC6" w14:textId="31314ECB" w:rsidR="00DB7B9F" w:rsidRPr="007C7E13" w:rsidRDefault="00DB7B9F" w:rsidP="680DB01B">
      <w:pPr>
        <w:pStyle w:val="ListParagraph"/>
        <w:numPr>
          <w:ilvl w:val="0"/>
          <w:numId w:val="20"/>
        </w:numPr>
      </w:pPr>
      <w:r w:rsidRPr="680DB01B">
        <w:t xml:space="preserve">Each studentship award will comprise a three-year stipend and research costs </w:t>
      </w:r>
      <w:r w:rsidR="00CA2FDB" w:rsidRPr="680DB01B">
        <w:rPr>
          <w:b/>
          <w:bCs/>
        </w:rPr>
        <w:t>of maximum £</w:t>
      </w:r>
      <w:r w:rsidR="10DC5B90" w:rsidRPr="680DB01B">
        <w:rPr>
          <w:b/>
          <w:bCs/>
        </w:rPr>
        <w:t>7</w:t>
      </w:r>
      <w:r w:rsidR="00942A9F" w:rsidRPr="680DB01B">
        <w:rPr>
          <w:b/>
          <w:bCs/>
        </w:rPr>
        <w:t>5</w:t>
      </w:r>
      <w:r w:rsidR="10DC5B90" w:rsidRPr="680DB01B">
        <w:rPr>
          <w:b/>
          <w:bCs/>
        </w:rPr>
        <w:t>,</w:t>
      </w:r>
      <w:r w:rsidR="00942A9F" w:rsidRPr="680DB01B">
        <w:rPr>
          <w:b/>
          <w:bCs/>
        </w:rPr>
        <w:t>000</w:t>
      </w:r>
      <w:r w:rsidR="00CA2FDB" w:rsidRPr="680DB01B">
        <w:rPr>
          <w:rStyle w:val="FootnoteReference"/>
          <w:b/>
          <w:bCs/>
        </w:rPr>
        <w:footnoteReference w:id="1"/>
      </w:r>
      <w:r w:rsidR="00CA2FDB" w:rsidRPr="680DB01B">
        <w:rPr>
          <w:b/>
          <w:bCs/>
        </w:rPr>
        <w:t xml:space="preserve"> per studentship awarded to the host organisation(s)</w:t>
      </w:r>
      <w:r w:rsidR="10DC5B90" w:rsidRPr="680DB01B">
        <w:t xml:space="preserve">. This is based on </w:t>
      </w:r>
      <w:hyperlink r:id="rId8" w:history="1">
        <w:r w:rsidR="10DC5B90" w:rsidRPr="680DB01B">
          <w:rPr>
            <w:rStyle w:val="Hyperlink"/>
            <w:rFonts w:eastAsia="Roboto"/>
            <w:b/>
            <w:bCs/>
          </w:rPr>
          <w:t>UK Research and Innovation (UKRI) minimum rate</w:t>
        </w:r>
      </w:hyperlink>
      <w:r w:rsidR="00CA2FDB" w:rsidRPr="680DB01B">
        <w:t xml:space="preserve"> </w:t>
      </w:r>
      <w:r w:rsidRPr="680DB01B">
        <w:t xml:space="preserve"> </w:t>
      </w:r>
      <w:r w:rsidR="10DC5B90" w:rsidRPr="680DB01B">
        <w:t>(see Appendix B)</w:t>
      </w:r>
    </w:p>
    <w:p w14:paraId="3C0C5E41" w14:textId="77777777" w:rsidR="00DB7B9F" w:rsidRPr="007C7E13" w:rsidRDefault="00DB7B9F" w:rsidP="00550A66">
      <w:pPr>
        <w:pStyle w:val="ListParagraph"/>
      </w:pPr>
    </w:p>
    <w:p w14:paraId="197C2051" w14:textId="3779EA8F" w:rsidR="00DB7B9F" w:rsidRPr="007C7E13" w:rsidRDefault="09A0C50B" w:rsidP="00550A66">
      <w:pPr>
        <w:pStyle w:val="ListParagraph"/>
        <w:numPr>
          <w:ilvl w:val="0"/>
          <w:numId w:val="20"/>
        </w:numPr>
      </w:pPr>
      <w:r w:rsidRPr="09A0C50B">
        <w:rPr>
          <w:b/>
          <w:bCs/>
        </w:rPr>
        <w:t>Host organisations will be responsible for meeting the costs of PhD tuition fees</w:t>
      </w:r>
      <w:r>
        <w:t xml:space="preserve"> (including, where needed, the relevant overseas supplement for non-UK home students), for arranging and funding any necessary visa arrangements for overseas students, and for meeting the costs of an initial MSc or equivalent year as part of a four-year programme if required. Applicants should confirm this with their Heads of Department and postgraduate offices prior to applying. </w:t>
      </w:r>
    </w:p>
    <w:p w14:paraId="1387E1A9" w14:textId="77777777" w:rsidR="00CA2FDB" w:rsidRPr="007C7E13" w:rsidRDefault="00CA2FDB" w:rsidP="68297107">
      <w:pPr>
        <w:pStyle w:val="ListParagraph"/>
      </w:pPr>
    </w:p>
    <w:p w14:paraId="16CEB87A" w14:textId="1C26AAD2" w:rsidR="00CA2FDB" w:rsidRPr="007C7E13" w:rsidRDefault="09A0C50B" w:rsidP="00550A66">
      <w:pPr>
        <w:pStyle w:val="ListParagraph"/>
        <w:numPr>
          <w:ilvl w:val="0"/>
          <w:numId w:val="20"/>
        </w:numPr>
      </w:pPr>
      <w:r>
        <w:t>Host organisations will be responsible for meeting the costs of any statutory maternity or paternity pay and any other completion delays due to illness or other circumstances.</w:t>
      </w:r>
    </w:p>
    <w:p w14:paraId="286A74F7" w14:textId="77777777" w:rsidR="00DB7B9F" w:rsidRPr="007C7E13" w:rsidRDefault="00DB7B9F" w:rsidP="00550A66">
      <w:pPr>
        <w:pStyle w:val="ListParagraph"/>
      </w:pPr>
    </w:p>
    <w:p w14:paraId="5F0CAC2F" w14:textId="6032D757" w:rsidR="00DB7B9F" w:rsidRPr="007C7E13" w:rsidRDefault="68297107" w:rsidP="00550A66">
      <w:pPr>
        <w:pStyle w:val="ListParagraph"/>
        <w:numPr>
          <w:ilvl w:val="0"/>
          <w:numId w:val="20"/>
        </w:numPr>
      </w:pPr>
      <w:r w:rsidRPr="007C7E13">
        <w:t>All students will have access to courses available via the HDR UK Wellcome Trust PhD programme and will be expected to take part in HDR UK PhD student events as part of a national HDR UK PhD student cohort.</w:t>
      </w:r>
    </w:p>
    <w:p w14:paraId="20143F02" w14:textId="43C20179" w:rsidR="00DB7B9F" w:rsidRDefault="00DB7B9F" w:rsidP="00CA2FDB">
      <w:pPr>
        <w:jc w:val="both"/>
        <w:rPr>
          <w:lang w:val="en-GB"/>
        </w:rPr>
      </w:pPr>
    </w:p>
    <w:p w14:paraId="04BF5F52" w14:textId="159590DA" w:rsidR="00DB7B9F" w:rsidRPr="00117043" w:rsidRDefault="4A78715A" w:rsidP="00191FE6">
      <w:pPr>
        <w:pStyle w:val="GreenHeading1"/>
        <w:numPr>
          <w:ilvl w:val="0"/>
          <w:numId w:val="18"/>
        </w:numPr>
        <w:spacing w:before="240"/>
        <w:rPr>
          <w:rFonts w:ascii="Calibri" w:eastAsiaTheme="minorEastAsia" w:hAnsi="Calibri" w:cs="Calibri"/>
          <w:sz w:val="32"/>
          <w:szCs w:val="32"/>
          <w:lang w:val="en-GB"/>
        </w:rPr>
      </w:pPr>
      <w:r w:rsidRPr="00117043">
        <w:rPr>
          <w:rFonts w:ascii="Calibri" w:eastAsiaTheme="minorEastAsia" w:hAnsi="Calibri" w:cs="Calibri"/>
          <w:sz w:val="32"/>
          <w:szCs w:val="32"/>
          <w:lang w:val="en-GB"/>
        </w:rPr>
        <w:lastRenderedPageBreak/>
        <w:t>Timeline</w:t>
      </w:r>
    </w:p>
    <w:p w14:paraId="27AA243F" w14:textId="7B919887" w:rsidR="009D4EC6" w:rsidRPr="00117043" w:rsidRDefault="4A78715A" w:rsidP="4A78715A">
      <w:pPr>
        <w:pStyle w:val="GreenHeading1"/>
        <w:numPr>
          <w:ilvl w:val="0"/>
          <w:numId w:val="1"/>
        </w:numPr>
        <w:spacing w:before="240" w:line="240" w:lineRule="auto"/>
        <w:rPr>
          <w:rFonts w:asciiTheme="minorHAnsi" w:eastAsiaTheme="minorEastAsia" w:hAnsiTheme="minorHAnsi" w:cstheme="minorBidi"/>
          <w:color w:val="auto"/>
          <w:sz w:val="24"/>
          <w:szCs w:val="24"/>
          <w:lang w:val="en-GB"/>
        </w:rPr>
      </w:pPr>
      <w:r w:rsidRPr="00117043">
        <w:rPr>
          <w:rFonts w:asciiTheme="minorHAnsi" w:eastAsiaTheme="minorEastAsia" w:hAnsiTheme="minorHAnsi" w:cstheme="minorBidi"/>
          <w:color w:val="auto"/>
          <w:sz w:val="24"/>
          <w:szCs w:val="24"/>
          <w:lang w:val="en-GB"/>
        </w:rPr>
        <w:t>Deadline for applications</w:t>
      </w:r>
      <w:r w:rsidR="00D93B76">
        <w:rPr>
          <w:rFonts w:asciiTheme="minorHAnsi" w:eastAsiaTheme="minorEastAsia" w:hAnsiTheme="minorHAnsi" w:cstheme="minorBidi"/>
          <w:color w:val="auto"/>
          <w:sz w:val="24"/>
          <w:szCs w:val="24"/>
          <w:lang w:val="en-GB"/>
        </w:rPr>
        <w:t xml:space="preserve">- </w:t>
      </w:r>
      <w:r w:rsidRPr="00117043">
        <w:rPr>
          <w:rFonts w:asciiTheme="minorHAnsi" w:eastAsiaTheme="minorEastAsia" w:hAnsiTheme="minorHAnsi" w:cstheme="minorBidi"/>
          <w:color w:val="auto"/>
          <w:sz w:val="24"/>
          <w:szCs w:val="24"/>
          <w:lang w:val="en-GB"/>
        </w:rPr>
        <w:t xml:space="preserve"> </w:t>
      </w:r>
      <w:r w:rsidRPr="00117043">
        <w:rPr>
          <w:rFonts w:asciiTheme="minorHAnsi" w:eastAsiaTheme="minorEastAsia" w:hAnsiTheme="minorHAnsi" w:cstheme="minorBidi"/>
          <w:b w:val="0"/>
          <w:bCs w:val="0"/>
          <w:color w:val="auto"/>
          <w:sz w:val="24"/>
          <w:szCs w:val="24"/>
          <w:lang w:val="en-GB"/>
        </w:rPr>
        <w:t xml:space="preserve">17:00 Friday </w:t>
      </w:r>
      <w:r w:rsidR="00D93B76">
        <w:rPr>
          <w:rFonts w:asciiTheme="minorHAnsi" w:eastAsiaTheme="minorEastAsia" w:hAnsiTheme="minorHAnsi" w:cstheme="minorBidi"/>
          <w:b w:val="0"/>
          <w:bCs w:val="0"/>
          <w:color w:val="auto"/>
          <w:sz w:val="24"/>
          <w:szCs w:val="24"/>
          <w:lang w:val="en-GB"/>
        </w:rPr>
        <w:t>5 May</w:t>
      </w:r>
      <w:r w:rsidRPr="00117043">
        <w:rPr>
          <w:rFonts w:asciiTheme="minorHAnsi" w:eastAsiaTheme="minorEastAsia" w:hAnsiTheme="minorHAnsi" w:cstheme="minorBidi"/>
          <w:b w:val="0"/>
          <w:bCs w:val="0"/>
          <w:color w:val="auto"/>
          <w:sz w:val="24"/>
          <w:szCs w:val="24"/>
          <w:lang w:val="en-GB"/>
        </w:rPr>
        <w:t xml:space="preserve"> 2023</w:t>
      </w:r>
    </w:p>
    <w:p w14:paraId="48102DF6" w14:textId="57407BA8" w:rsidR="2EBC717A" w:rsidRPr="00117043" w:rsidRDefault="4A78715A" w:rsidP="4A78715A">
      <w:pPr>
        <w:pStyle w:val="GreenHeading1"/>
        <w:numPr>
          <w:ilvl w:val="0"/>
          <w:numId w:val="1"/>
        </w:numPr>
        <w:spacing w:before="240" w:line="240" w:lineRule="auto"/>
        <w:rPr>
          <w:rFonts w:asciiTheme="minorHAnsi" w:eastAsiaTheme="minorEastAsia" w:hAnsiTheme="minorHAnsi" w:cstheme="minorBidi"/>
          <w:color w:val="auto"/>
          <w:sz w:val="24"/>
          <w:szCs w:val="24"/>
          <w:lang w:val="en-GB"/>
        </w:rPr>
      </w:pPr>
      <w:r w:rsidRPr="00117043">
        <w:rPr>
          <w:rFonts w:asciiTheme="minorHAnsi" w:eastAsiaTheme="minorEastAsia" w:hAnsiTheme="minorHAnsi" w:cstheme="minorBidi"/>
          <w:color w:val="auto"/>
          <w:sz w:val="24"/>
          <w:szCs w:val="24"/>
          <w:lang w:val="en-GB"/>
        </w:rPr>
        <w:t xml:space="preserve">Project review panel – </w:t>
      </w:r>
      <w:r w:rsidRPr="00117043">
        <w:rPr>
          <w:rFonts w:asciiTheme="minorHAnsi" w:eastAsiaTheme="minorEastAsia" w:hAnsiTheme="minorHAnsi" w:cstheme="minorBidi"/>
          <w:b w:val="0"/>
          <w:bCs w:val="0"/>
          <w:color w:val="auto"/>
          <w:sz w:val="24"/>
          <w:szCs w:val="24"/>
          <w:lang w:val="en-GB"/>
        </w:rPr>
        <w:t xml:space="preserve">w/c </w:t>
      </w:r>
      <w:r w:rsidR="00D93B76">
        <w:rPr>
          <w:rFonts w:asciiTheme="minorHAnsi" w:eastAsiaTheme="minorEastAsia" w:hAnsiTheme="minorHAnsi" w:cstheme="minorBidi"/>
          <w:b w:val="0"/>
          <w:bCs w:val="0"/>
          <w:color w:val="auto"/>
          <w:sz w:val="24"/>
          <w:szCs w:val="24"/>
          <w:lang w:val="en-GB"/>
        </w:rPr>
        <w:t xml:space="preserve">15 </w:t>
      </w:r>
      <w:r w:rsidRPr="00117043">
        <w:rPr>
          <w:rFonts w:asciiTheme="minorHAnsi" w:eastAsiaTheme="minorEastAsia" w:hAnsiTheme="minorHAnsi" w:cstheme="minorBidi"/>
          <w:b w:val="0"/>
          <w:bCs w:val="0"/>
          <w:color w:val="auto"/>
          <w:sz w:val="24"/>
          <w:szCs w:val="24"/>
          <w:lang w:val="en-GB"/>
        </w:rPr>
        <w:t>May 2023</w:t>
      </w:r>
    </w:p>
    <w:p w14:paraId="5E4031A3" w14:textId="5FD4B857" w:rsidR="2EBC717A" w:rsidRPr="00117043" w:rsidRDefault="4A78715A" w:rsidP="4A78715A">
      <w:pPr>
        <w:pStyle w:val="GreenHeading1"/>
        <w:numPr>
          <w:ilvl w:val="0"/>
          <w:numId w:val="1"/>
        </w:numPr>
        <w:spacing w:before="240" w:line="240" w:lineRule="auto"/>
        <w:rPr>
          <w:rFonts w:asciiTheme="minorHAnsi" w:eastAsiaTheme="minorEastAsia" w:hAnsiTheme="minorHAnsi" w:cstheme="minorBidi"/>
          <w:color w:val="auto"/>
          <w:sz w:val="24"/>
          <w:szCs w:val="24"/>
          <w:lang w:val="en-GB"/>
        </w:rPr>
      </w:pPr>
      <w:r w:rsidRPr="00117043">
        <w:rPr>
          <w:rFonts w:asciiTheme="minorHAnsi" w:eastAsiaTheme="minorEastAsia" w:hAnsiTheme="minorHAnsi" w:cstheme="minorBidi"/>
          <w:color w:val="auto"/>
          <w:sz w:val="24"/>
          <w:szCs w:val="24"/>
          <w:lang w:val="en-GB"/>
        </w:rPr>
        <w:t>Host organisations notified of project selections –</w:t>
      </w:r>
      <w:r w:rsidRPr="00117043">
        <w:rPr>
          <w:rFonts w:asciiTheme="minorHAnsi" w:eastAsiaTheme="minorEastAsia" w:hAnsiTheme="minorHAnsi" w:cstheme="minorBidi"/>
          <w:b w:val="0"/>
          <w:bCs w:val="0"/>
          <w:color w:val="auto"/>
          <w:sz w:val="24"/>
          <w:szCs w:val="24"/>
          <w:lang w:val="en-GB"/>
        </w:rPr>
        <w:t>May 2023</w:t>
      </w:r>
    </w:p>
    <w:p w14:paraId="551C2660" w14:textId="6191A25B" w:rsidR="2EBC717A" w:rsidRPr="00117043" w:rsidRDefault="4A78715A" w:rsidP="4A78715A">
      <w:pPr>
        <w:pStyle w:val="GreenHeading1"/>
        <w:numPr>
          <w:ilvl w:val="0"/>
          <w:numId w:val="1"/>
        </w:numPr>
        <w:spacing w:before="240" w:line="240" w:lineRule="auto"/>
        <w:rPr>
          <w:rFonts w:asciiTheme="minorHAnsi" w:eastAsiaTheme="minorEastAsia" w:hAnsiTheme="minorHAnsi" w:cstheme="minorBidi"/>
          <w:b w:val="0"/>
          <w:bCs w:val="0"/>
          <w:color w:val="auto"/>
          <w:sz w:val="24"/>
          <w:szCs w:val="24"/>
          <w:lang w:val="en-GB"/>
        </w:rPr>
      </w:pPr>
      <w:r w:rsidRPr="00117043">
        <w:rPr>
          <w:rFonts w:asciiTheme="minorHAnsi" w:eastAsiaTheme="minorEastAsia" w:hAnsiTheme="minorHAnsi" w:cstheme="minorBidi"/>
          <w:color w:val="auto"/>
          <w:sz w:val="24"/>
          <w:szCs w:val="24"/>
          <w:lang w:val="en-GB"/>
        </w:rPr>
        <w:t>Student applications –</w:t>
      </w:r>
      <w:r w:rsidR="00D93B76">
        <w:rPr>
          <w:rFonts w:asciiTheme="minorHAnsi" w:eastAsiaTheme="minorEastAsia" w:hAnsiTheme="minorHAnsi" w:cstheme="minorBidi"/>
          <w:b w:val="0"/>
          <w:bCs w:val="0"/>
          <w:color w:val="auto"/>
          <w:sz w:val="24"/>
          <w:szCs w:val="24"/>
          <w:lang w:val="en-GB"/>
        </w:rPr>
        <w:t xml:space="preserve"> </w:t>
      </w:r>
      <w:r w:rsidRPr="00117043">
        <w:rPr>
          <w:rFonts w:asciiTheme="minorHAnsi" w:eastAsiaTheme="minorEastAsia" w:hAnsiTheme="minorHAnsi" w:cstheme="minorBidi"/>
          <w:b w:val="0"/>
          <w:bCs w:val="0"/>
          <w:color w:val="auto"/>
          <w:sz w:val="24"/>
          <w:szCs w:val="24"/>
          <w:lang w:val="en-GB"/>
        </w:rPr>
        <w:t>May – 9 June 2023</w:t>
      </w:r>
    </w:p>
    <w:p w14:paraId="4B1D4EC0" w14:textId="148385B2" w:rsidR="4A78715A" w:rsidRPr="00117043" w:rsidRDefault="4A78715A" w:rsidP="4A78715A">
      <w:pPr>
        <w:pStyle w:val="GreenHeading1"/>
        <w:numPr>
          <w:ilvl w:val="0"/>
          <w:numId w:val="1"/>
        </w:numPr>
        <w:spacing w:before="240" w:line="240" w:lineRule="auto"/>
        <w:rPr>
          <w:rFonts w:asciiTheme="minorHAnsi" w:eastAsiaTheme="minorEastAsia" w:hAnsiTheme="minorHAnsi" w:cstheme="minorBidi"/>
          <w:color w:val="auto"/>
          <w:sz w:val="24"/>
          <w:szCs w:val="24"/>
          <w:lang w:val="en-GB"/>
        </w:rPr>
      </w:pPr>
      <w:r w:rsidRPr="00117043">
        <w:rPr>
          <w:rFonts w:asciiTheme="minorHAnsi" w:eastAsiaTheme="minorEastAsia" w:hAnsiTheme="minorHAnsi" w:cstheme="minorBidi"/>
          <w:color w:val="auto"/>
          <w:sz w:val="24"/>
          <w:szCs w:val="24"/>
          <w:lang w:val="en-GB"/>
        </w:rPr>
        <w:t>HDR UK student selection panel –</w:t>
      </w:r>
      <w:r w:rsidRPr="00117043">
        <w:rPr>
          <w:rFonts w:asciiTheme="minorHAnsi" w:eastAsiaTheme="minorEastAsia" w:hAnsiTheme="minorHAnsi" w:cstheme="minorBidi"/>
          <w:b w:val="0"/>
          <w:bCs w:val="0"/>
          <w:color w:val="auto"/>
          <w:sz w:val="24"/>
          <w:szCs w:val="24"/>
          <w:lang w:val="en-GB"/>
        </w:rPr>
        <w:t xml:space="preserve"> w/c 19 June 2023</w:t>
      </w:r>
    </w:p>
    <w:p w14:paraId="50BB09B1" w14:textId="7356A2BF" w:rsidR="2EBC717A" w:rsidRPr="00117043" w:rsidRDefault="09A0C50B" w:rsidP="09A0C50B">
      <w:pPr>
        <w:pStyle w:val="GreenHeading1"/>
        <w:numPr>
          <w:ilvl w:val="0"/>
          <w:numId w:val="1"/>
        </w:numPr>
        <w:spacing w:before="240" w:line="240" w:lineRule="auto"/>
        <w:rPr>
          <w:rFonts w:asciiTheme="minorHAnsi" w:eastAsiaTheme="minorEastAsia" w:hAnsiTheme="minorHAnsi" w:cstheme="minorBidi"/>
          <w:b w:val="0"/>
          <w:bCs w:val="0"/>
          <w:color w:val="auto"/>
          <w:sz w:val="24"/>
          <w:szCs w:val="24"/>
          <w:lang w:val="en-GB"/>
        </w:rPr>
      </w:pPr>
      <w:r w:rsidRPr="09A0C50B">
        <w:rPr>
          <w:rFonts w:asciiTheme="minorHAnsi" w:eastAsiaTheme="minorEastAsia" w:hAnsiTheme="minorHAnsi" w:cstheme="minorBidi"/>
          <w:color w:val="auto"/>
          <w:sz w:val="24"/>
          <w:szCs w:val="24"/>
          <w:lang w:val="en-GB"/>
        </w:rPr>
        <w:t>Conditional offer/</w:t>
      </w:r>
      <w:r w:rsidR="00117043">
        <w:rPr>
          <w:rFonts w:asciiTheme="minorHAnsi" w:eastAsiaTheme="minorEastAsia" w:hAnsiTheme="minorHAnsi" w:cstheme="minorBidi"/>
          <w:color w:val="auto"/>
          <w:sz w:val="24"/>
          <w:szCs w:val="24"/>
          <w:lang w:val="en-GB"/>
        </w:rPr>
        <w:t>s</w:t>
      </w:r>
      <w:r w:rsidRPr="00117043">
        <w:rPr>
          <w:rFonts w:asciiTheme="minorHAnsi" w:eastAsiaTheme="minorEastAsia" w:hAnsiTheme="minorHAnsi" w:cstheme="minorBidi"/>
          <w:color w:val="auto"/>
          <w:sz w:val="24"/>
          <w:szCs w:val="24"/>
          <w:lang w:val="en-GB"/>
        </w:rPr>
        <w:t xml:space="preserve"> made – </w:t>
      </w:r>
      <w:r w:rsidRPr="00117043">
        <w:rPr>
          <w:rFonts w:asciiTheme="minorHAnsi" w:eastAsiaTheme="minorEastAsia" w:hAnsiTheme="minorHAnsi" w:cstheme="minorBidi"/>
          <w:b w:val="0"/>
          <w:bCs w:val="0"/>
          <w:color w:val="auto"/>
          <w:sz w:val="24"/>
          <w:szCs w:val="24"/>
          <w:lang w:val="en-GB"/>
        </w:rPr>
        <w:t>during or before w/c 26 June 2023</w:t>
      </w:r>
    </w:p>
    <w:p w14:paraId="09E45706" w14:textId="017323A8" w:rsidR="4A78715A" w:rsidRPr="00117043" w:rsidRDefault="4A78715A" w:rsidP="4A78715A">
      <w:pPr>
        <w:pStyle w:val="GreenHeading1"/>
        <w:numPr>
          <w:ilvl w:val="0"/>
          <w:numId w:val="1"/>
        </w:numPr>
        <w:spacing w:before="240" w:line="240" w:lineRule="auto"/>
        <w:rPr>
          <w:rFonts w:asciiTheme="minorHAnsi" w:eastAsiaTheme="minorEastAsia" w:hAnsiTheme="minorHAnsi" w:cstheme="minorBidi"/>
          <w:b w:val="0"/>
          <w:bCs w:val="0"/>
          <w:color w:val="auto"/>
          <w:sz w:val="24"/>
          <w:szCs w:val="24"/>
          <w:lang w:val="en-GB"/>
        </w:rPr>
      </w:pPr>
      <w:r w:rsidRPr="4A78715A">
        <w:rPr>
          <w:rFonts w:asciiTheme="minorHAnsi" w:eastAsiaTheme="minorEastAsia" w:hAnsiTheme="minorHAnsi" w:cstheme="minorBidi"/>
          <w:color w:val="auto"/>
          <w:sz w:val="24"/>
          <w:szCs w:val="24"/>
          <w:lang w:val="en-GB"/>
        </w:rPr>
        <w:t xml:space="preserve">Unconditional offer made – </w:t>
      </w:r>
      <w:r w:rsidRPr="00117043">
        <w:rPr>
          <w:rFonts w:asciiTheme="minorHAnsi" w:eastAsiaTheme="minorEastAsia" w:hAnsiTheme="minorHAnsi" w:cstheme="minorBidi"/>
          <w:b w:val="0"/>
          <w:bCs w:val="0"/>
          <w:color w:val="auto"/>
          <w:sz w:val="24"/>
          <w:szCs w:val="24"/>
          <w:lang w:val="en-GB"/>
        </w:rPr>
        <w:t>during or before w/c 17th July 2023</w:t>
      </w:r>
    </w:p>
    <w:p w14:paraId="3E476F3F" w14:textId="1B4A4CB5" w:rsidR="4A78715A" w:rsidRPr="00117043" w:rsidRDefault="09A0C50B" w:rsidP="4A78715A">
      <w:pPr>
        <w:pStyle w:val="GreenHeading1"/>
        <w:numPr>
          <w:ilvl w:val="0"/>
          <w:numId w:val="1"/>
        </w:numPr>
        <w:spacing w:before="240" w:line="240" w:lineRule="auto"/>
        <w:rPr>
          <w:rFonts w:asciiTheme="minorHAnsi" w:eastAsiaTheme="minorEastAsia" w:hAnsiTheme="minorHAnsi" w:cstheme="minorBidi"/>
          <w:b w:val="0"/>
          <w:bCs w:val="0"/>
          <w:color w:val="auto"/>
          <w:sz w:val="24"/>
          <w:szCs w:val="24"/>
          <w:lang w:val="en-GB"/>
        </w:rPr>
      </w:pPr>
      <w:r w:rsidRPr="09A0C50B">
        <w:rPr>
          <w:rFonts w:asciiTheme="minorHAnsi" w:eastAsiaTheme="minorEastAsia" w:hAnsiTheme="minorHAnsi" w:cstheme="minorBidi"/>
          <w:color w:val="auto"/>
          <w:sz w:val="24"/>
          <w:szCs w:val="24"/>
          <w:lang w:val="en-GB"/>
        </w:rPr>
        <w:t xml:space="preserve">Award letter issued – </w:t>
      </w:r>
      <w:r w:rsidRPr="00117043">
        <w:rPr>
          <w:rFonts w:asciiTheme="minorHAnsi" w:eastAsiaTheme="minorEastAsia" w:hAnsiTheme="minorHAnsi" w:cstheme="minorBidi"/>
          <w:b w:val="0"/>
          <w:bCs w:val="0"/>
          <w:color w:val="auto"/>
          <w:sz w:val="24"/>
          <w:szCs w:val="24"/>
          <w:lang w:val="en-GB"/>
        </w:rPr>
        <w:t>during or before w/c 24th July 2023</w:t>
      </w:r>
    </w:p>
    <w:p w14:paraId="1D7DF0A1" w14:textId="038507F0" w:rsidR="00CA2FDB" w:rsidRPr="009D4EC6" w:rsidRDefault="00CA2FDB" w:rsidP="002478EA">
      <w:pPr>
        <w:rPr>
          <w:b/>
          <w:bCs/>
          <w:sz w:val="22"/>
          <w:szCs w:val="22"/>
          <w:lang w:val="en-GB"/>
        </w:rPr>
      </w:pPr>
    </w:p>
    <w:p w14:paraId="46561CB1" w14:textId="5DAE7757" w:rsidR="00CA2FDB" w:rsidRPr="00C36BB6" w:rsidRDefault="09A0C50B" w:rsidP="002478EA">
      <w:pPr>
        <w:rPr>
          <w:b/>
          <w:bCs/>
          <w:lang w:val="en-GB"/>
        </w:rPr>
      </w:pPr>
      <w:r w:rsidRPr="09A0C50B">
        <w:rPr>
          <w:lang w:val="en-GB"/>
        </w:rPr>
        <w:t xml:space="preserve">Please complete the proposal project form and return to </w:t>
      </w:r>
      <w:hyperlink r:id="rId9">
        <w:r w:rsidRPr="09A0C50B">
          <w:rPr>
            <w:rStyle w:val="Hyperlink"/>
            <w:lang w:val="en-GB"/>
          </w:rPr>
          <w:t>learn@hdruk.ac.uk</w:t>
        </w:r>
      </w:hyperlink>
      <w:r w:rsidRPr="09A0C50B">
        <w:rPr>
          <w:lang w:val="en-GB"/>
        </w:rPr>
        <w:t xml:space="preserve"> by </w:t>
      </w:r>
      <w:r w:rsidRPr="09A0C50B">
        <w:rPr>
          <w:b/>
          <w:bCs/>
          <w:lang w:val="en-GB"/>
        </w:rPr>
        <w:t>17.00hrs Friday 28</w:t>
      </w:r>
      <w:r w:rsidRPr="09A0C50B">
        <w:rPr>
          <w:b/>
          <w:bCs/>
          <w:vertAlign w:val="superscript"/>
          <w:lang w:val="en-GB"/>
        </w:rPr>
        <w:t>th</w:t>
      </w:r>
      <w:r w:rsidRPr="09A0C50B">
        <w:rPr>
          <w:b/>
          <w:bCs/>
          <w:lang w:val="en-GB"/>
        </w:rPr>
        <w:t xml:space="preserve"> April 2023 </w:t>
      </w:r>
    </w:p>
    <w:p w14:paraId="5A40E22B" w14:textId="063182E9" w:rsidR="00CA2FDB" w:rsidRDefault="00CA2FDB" w:rsidP="002478EA">
      <w:pPr>
        <w:rPr>
          <w:lang w:val="en-GB"/>
        </w:rPr>
      </w:pPr>
    </w:p>
    <w:p w14:paraId="3477DEB7" w14:textId="75A7E38D" w:rsidR="00CA2FDB" w:rsidRDefault="00CA2FDB" w:rsidP="002478EA">
      <w:pPr>
        <w:rPr>
          <w:lang w:val="en-GB"/>
        </w:rPr>
      </w:pPr>
    </w:p>
    <w:p w14:paraId="4697770D" w14:textId="3BBF03E4" w:rsidR="00CA2FDB" w:rsidRDefault="00CA2FDB" w:rsidP="002478EA">
      <w:pPr>
        <w:rPr>
          <w:lang w:val="en-GB"/>
        </w:rPr>
      </w:pPr>
    </w:p>
    <w:p w14:paraId="2A051753" w14:textId="205C884C" w:rsidR="00CA2FDB" w:rsidRDefault="00CA2FDB" w:rsidP="002478EA">
      <w:pPr>
        <w:rPr>
          <w:lang w:val="en-GB"/>
        </w:rPr>
      </w:pPr>
    </w:p>
    <w:p w14:paraId="18E5877B" w14:textId="052E43B2" w:rsidR="00CA2FDB" w:rsidRDefault="00CA2FDB" w:rsidP="002478EA">
      <w:pPr>
        <w:rPr>
          <w:lang w:val="en-GB"/>
        </w:rPr>
      </w:pPr>
    </w:p>
    <w:p w14:paraId="5AE7AA2D" w14:textId="04786821" w:rsidR="00117043" w:rsidRDefault="00117043" w:rsidP="002478EA">
      <w:pPr>
        <w:rPr>
          <w:lang w:val="en-GB"/>
        </w:rPr>
      </w:pPr>
    </w:p>
    <w:p w14:paraId="1A3F5D0F" w14:textId="0BE1BC3A" w:rsidR="00117043" w:rsidRDefault="00117043" w:rsidP="002478EA">
      <w:pPr>
        <w:rPr>
          <w:lang w:val="en-GB"/>
        </w:rPr>
      </w:pPr>
    </w:p>
    <w:p w14:paraId="6DFEC440" w14:textId="61BBBA84" w:rsidR="00117043" w:rsidRDefault="00117043" w:rsidP="002478EA">
      <w:pPr>
        <w:rPr>
          <w:lang w:val="en-GB"/>
        </w:rPr>
      </w:pPr>
    </w:p>
    <w:p w14:paraId="79EF501D" w14:textId="6CE15388" w:rsidR="00117043" w:rsidRDefault="00117043" w:rsidP="002478EA">
      <w:pPr>
        <w:rPr>
          <w:lang w:val="en-GB"/>
        </w:rPr>
      </w:pPr>
    </w:p>
    <w:p w14:paraId="1B4E70EF" w14:textId="2B4F434A" w:rsidR="00117043" w:rsidRDefault="00117043" w:rsidP="002478EA">
      <w:pPr>
        <w:rPr>
          <w:lang w:val="en-GB"/>
        </w:rPr>
      </w:pPr>
    </w:p>
    <w:p w14:paraId="1AD525C8" w14:textId="7E173076" w:rsidR="00117043" w:rsidRDefault="00117043" w:rsidP="002478EA">
      <w:pPr>
        <w:rPr>
          <w:lang w:val="en-GB"/>
        </w:rPr>
      </w:pPr>
    </w:p>
    <w:p w14:paraId="5AAB11A8" w14:textId="6FD13E5C" w:rsidR="00117043" w:rsidRDefault="00117043" w:rsidP="002478EA">
      <w:pPr>
        <w:rPr>
          <w:lang w:val="en-GB"/>
        </w:rPr>
      </w:pPr>
    </w:p>
    <w:p w14:paraId="49523194" w14:textId="7144D2CE" w:rsidR="00117043" w:rsidRDefault="00117043" w:rsidP="002478EA">
      <w:pPr>
        <w:rPr>
          <w:lang w:val="en-GB"/>
        </w:rPr>
      </w:pPr>
    </w:p>
    <w:p w14:paraId="78581315" w14:textId="65E0FC58" w:rsidR="00117043" w:rsidRDefault="00117043" w:rsidP="002478EA">
      <w:pPr>
        <w:rPr>
          <w:lang w:val="en-GB"/>
        </w:rPr>
      </w:pPr>
    </w:p>
    <w:p w14:paraId="033DB595" w14:textId="716BC109" w:rsidR="00117043" w:rsidRDefault="00117043" w:rsidP="002478EA">
      <w:pPr>
        <w:rPr>
          <w:lang w:val="en-GB"/>
        </w:rPr>
      </w:pPr>
    </w:p>
    <w:p w14:paraId="4DD9610B" w14:textId="276CCD9F" w:rsidR="00117043" w:rsidRDefault="00117043" w:rsidP="002478EA">
      <w:pPr>
        <w:rPr>
          <w:lang w:val="en-GB"/>
        </w:rPr>
      </w:pPr>
    </w:p>
    <w:p w14:paraId="14191273" w14:textId="77777777" w:rsidR="00117043" w:rsidRDefault="00117043" w:rsidP="002478EA">
      <w:pPr>
        <w:rPr>
          <w:lang w:val="en-GB"/>
        </w:rPr>
      </w:pPr>
    </w:p>
    <w:p w14:paraId="3AE4CA9E" w14:textId="763DE7A9" w:rsidR="00CA2FDB" w:rsidRDefault="00CA2FDB" w:rsidP="002478EA">
      <w:pPr>
        <w:rPr>
          <w:lang w:val="en-GB"/>
        </w:rPr>
      </w:pPr>
    </w:p>
    <w:p w14:paraId="3FED3D8C" w14:textId="0B5F0725" w:rsidR="00CA2FDB" w:rsidRDefault="00CA2FDB" w:rsidP="002478EA">
      <w:pPr>
        <w:rPr>
          <w:lang w:val="en-GB"/>
        </w:rPr>
      </w:pPr>
    </w:p>
    <w:p w14:paraId="57A1BD67" w14:textId="2672EAB5" w:rsidR="00CA2FDB" w:rsidRPr="007C7E13" w:rsidRDefault="1232FF20" w:rsidP="007D40E7">
      <w:pPr>
        <w:pStyle w:val="Header3"/>
        <w:jc w:val="center"/>
        <w:rPr>
          <w:rFonts w:asciiTheme="minorHAnsi" w:hAnsiTheme="minorHAnsi" w:cstheme="minorHAnsi"/>
          <w:color w:val="auto"/>
          <w:lang w:val="en-GB"/>
        </w:rPr>
      </w:pPr>
      <w:r w:rsidRPr="007C7E13">
        <w:rPr>
          <w:rFonts w:asciiTheme="minorHAnsi" w:hAnsiTheme="minorHAnsi" w:cstheme="minorHAnsi"/>
          <w:color w:val="auto"/>
          <w:lang w:val="en-GB"/>
        </w:rPr>
        <w:lastRenderedPageBreak/>
        <w:t>A</w:t>
      </w:r>
      <w:r w:rsidR="007C7E13" w:rsidRPr="007C7E13">
        <w:rPr>
          <w:rFonts w:asciiTheme="minorHAnsi" w:hAnsiTheme="minorHAnsi" w:cstheme="minorHAnsi"/>
          <w:color w:val="auto"/>
          <w:lang w:val="en-GB"/>
        </w:rPr>
        <w:t>ppendix</w:t>
      </w:r>
      <w:r w:rsidRPr="007C7E13">
        <w:rPr>
          <w:rFonts w:asciiTheme="minorHAnsi" w:hAnsiTheme="minorHAnsi" w:cstheme="minorHAnsi"/>
          <w:color w:val="auto"/>
          <w:lang w:val="en-GB"/>
        </w:rPr>
        <w:t xml:space="preserve"> A: HDRUK Driver Programmes</w:t>
      </w:r>
    </w:p>
    <w:p w14:paraId="635481A5" w14:textId="6850DC87" w:rsidR="00CA2FDB" w:rsidRPr="007D40E7" w:rsidRDefault="007D40E7" w:rsidP="002478EA">
      <w:pPr>
        <w:rPr>
          <w:b/>
          <w:bCs/>
          <w:lang w:val="en-GB"/>
        </w:rPr>
      </w:pPr>
      <w:r w:rsidRPr="007D40E7">
        <w:rPr>
          <w:b/>
          <w:bCs/>
          <w:lang w:val="en-GB"/>
        </w:rPr>
        <w:t>Summary</w:t>
      </w:r>
    </w:p>
    <w:p w14:paraId="783F13AF" w14:textId="77777777" w:rsidR="007D40E7" w:rsidRPr="007D40E7" w:rsidRDefault="007D40E7" w:rsidP="007D40E7">
      <w:pPr>
        <w:pStyle w:val="ListParagraph"/>
        <w:numPr>
          <w:ilvl w:val="0"/>
          <w:numId w:val="22"/>
        </w:numPr>
        <w:spacing w:before="240" w:after="240"/>
        <w:rPr>
          <w:lang w:val="en-GB"/>
        </w:rPr>
      </w:pPr>
      <w:r w:rsidRPr="007D40E7">
        <w:rPr>
          <w:b/>
          <w:bCs/>
        </w:rPr>
        <w:t xml:space="preserve">HDR UK’s 2023-2028 Research Driver </w:t>
      </w:r>
      <w:proofErr w:type="spellStart"/>
      <w:r w:rsidRPr="007D40E7">
        <w:rPr>
          <w:b/>
          <w:bCs/>
        </w:rPr>
        <w:t>Programmes</w:t>
      </w:r>
      <w:proofErr w:type="spellEnd"/>
      <w:r w:rsidRPr="007D40E7">
        <w:rPr>
          <w:b/>
          <w:bCs/>
        </w:rPr>
        <w:t xml:space="preserve"> build upon well-established national and global networks and partnerships</w:t>
      </w:r>
      <w:r>
        <w:t xml:space="preserve"> cultivated in the first five years and are designed to demonstrate that health data and its associated infrastructure can be used to </w:t>
      </w:r>
      <w:proofErr w:type="spellStart"/>
      <w:r>
        <w:t>maximise</w:t>
      </w:r>
      <w:proofErr w:type="spellEnd"/>
      <w:r>
        <w:t xml:space="preserve"> patient and public impact. </w:t>
      </w:r>
    </w:p>
    <w:p w14:paraId="71D7CAC3" w14:textId="77777777" w:rsidR="007D40E7" w:rsidRPr="007D40E7" w:rsidRDefault="007D40E7" w:rsidP="007D40E7">
      <w:pPr>
        <w:pStyle w:val="ListParagraph"/>
        <w:spacing w:before="240" w:after="240"/>
        <w:rPr>
          <w:lang w:val="en-GB"/>
        </w:rPr>
      </w:pPr>
    </w:p>
    <w:p w14:paraId="39A5872D" w14:textId="102298B8" w:rsidR="007D40E7" w:rsidRPr="007D40E7" w:rsidRDefault="09A0C50B" w:rsidP="007D40E7">
      <w:pPr>
        <w:pStyle w:val="ListParagraph"/>
        <w:numPr>
          <w:ilvl w:val="0"/>
          <w:numId w:val="22"/>
        </w:numPr>
        <w:spacing w:before="240" w:after="240"/>
        <w:rPr>
          <w:lang w:val="en-GB"/>
        </w:rPr>
      </w:pPr>
      <w:r>
        <w:t xml:space="preserve">Six Driver </w:t>
      </w:r>
      <w:proofErr w:type="spellStart"/>
      <w:r>
        <w:t>Programmes</w:t>
      </w:r>
      <w:proofErr w:type="spellEnd"/>
      <w:r>
        <w:t xml:space="preserve"> will exemplify data integration for a health research purpose and leave a legacy for the benefit of the wider health research community. These </w:t>
      </w:r>
      <w:proofErr w:type="spellStart"/>
      <w:r>
        <w:t>programmes</w:t>
      </w:r>
      <w:proofErr w:type="spellEnd"/>
      <w:r>
        <w:t xml:space="preserve"> are:</w:t>
      </w:r>
    </w:p>
    <w:p w14:paraId="1E3F9D7F" w14:textId="77777777" w:rsidR="007D40E7" w:rsidRDefault="007D40E7" w:rsidP="007D40E7">
      <w:pPr>
        <w:pStyle w:val="ListParagraph"/>
      </w:pPr>
    </w:p>
    <w:p w14:paraId="70663157" w14:textId="77777777" w:rsidR="007D40E7" w:rsidRPr="007D40E7" w:rsidRDefault="007D40E7" w:rsidP="007D40E7">
      <w:pPr>
        <w:pStyle w:val="ListParagraph"/>
        <w:numPr>
          <w:ilvl w:val="0"/>
          <w:numId w:val="24"/>
        </w:numPr>
        <w:spacing w:before="240" w:after="240"/>
        <w:rPr>
          <w:lang w:val="en-GB"/>
        </w:rPr>
      </w:pPr>
      <w:r w:rsidRPr="007D40E7">
        <w:rPr>
          <w:b/>
          <w:bCs/>
        </w:rPr>
        <w:t>Molecules to Health Records (John Danesh, Sarah Lewington</w:t>
      </w:r>
      <w:r>
        <w:t xml:space="preserve">) </w:t>
      </w:r>
    </w:p>
    <w:p w14:paraId="114401AD" w14:textId="77777777" w:rsidR="007D40E7" w:rsidRDefault="007D40E7" w:rsidP="007D40E7">
      <w:pPr>
        <w:pStyle w:val="ListParagraph"/>
        <w:spacing w:before="240" w:after="240"/>
        <w:ind w:left="502"/>
        <w:rPr>
          <w:b/>
          <w:bCs/>
        </w:rPr>
      </w:pPr>
    </w:p>
    <w:p w14:paraId="5AD714EF" w14:textId="1B7FCF64" w:rsidR="007D40E7" w:rsidRPr="007D40E7" w:rsidRDefault="007D40E7" w:rsidP="007D40E7">
      <w:pPr>
        <w:pStyle w:val="ListParagraph"/>
        <w:spacing w:before="240" w:after="240"/>
        <w:ind w:left="502"/>
        <w:rPr>
          <w:lang w:val="en-GB"/>
        </w:rPr>
      </w:pPr>
      <w:r>
        <w:t>Creating new informatics infrastructures and data science methods that help achieve a deep integration of biology, biomedicine and population health sciences and gain major new insights into the underlying causes and biology of diseases.</w:t>
      </w:r>
    </w:p>
    <w:p w14:paraId="0E4C2823" w14:textId="166E42B5" w:rsidR="007D40E7" w:rsidRDefault="007D40E7" w:rsidP="007D40E7">
      <w:pPr>
        <w:pStyle w:val="ListParagraph"/>
        <w:numPr>
          <w:ilvl w:val="0"/>
          <w:numId w:val="26"/>
        </w:numPr>
        <w:spacing w:before="240" w:after="240"/>
      </w:pPr>
      <w:r>
        <w:t xml:space="preserve">Focus on molecular underpinnings of multi-disease </w:t>
      </w:r>
      <w:proofErr w:type="spellStart"/>
      <w:r>
        <w:t>aetiology</w:t>
      </w:r>
      <w:proofErr w:type="spellEnd"/>
      <w:r>
        <w:t xml:space="preserve">, therapeutic target </w:t>
      </w:r>
      <w:proofErr w:type="spellStart"/>
      <w:r>
        <w:t>prioritisation</w:t>
      </w:r>
      <w:proofErr w:type="spellEnd"/>
      <w:r>
        <w:t>, genomic causes of rare disorders, and risk prediction and stratified prevention.</w:t>
      </w:r>
    </w:p>
    <w:p w14:paraId="1F01D3D3" w14:textId="77777777" w:rsidR="007D40E7" w:rsidRDefault="007D40E7" w:rsidP="007D40E7">
      <w:pPr>
        <w:pStyle w:val="ListParagraph"/>
        <w:spacing w:before="240" w:after="240"/>
        <w:ind w:left="1069"/>
      </w:pPr>
    </w:p>
    <w:p w14:paraId="10FA872A" w14:textId="77777777" w:rsidR="007D40E7" w:rsidRDefault="007D40E7" w:rsidP="007D40E7">
      <w:pPr>
        <w:pStyle w:val="ListParagraph"/>
        <w:numPr>
          <w:ilvl w:val="0"/>
          <w:numId w:val="24"/>
        </w:numPr>
        <w:spacing w:before="240" w:after="240"/>
      </w:pPr>
      <w:r w:rsidRPr="007D40E7">
        <w:rPr>
          <w:b/>
          <w:bCs/>
        </w:rPr>
        <w:t xml:space="preserve"> Medicines in Acute and Chronic Care (Elizabeth Sapey, Munir Pirmohamed)</w:t>
      </w:r>
    </w:p>
    <w:p w14:paraId="464A8128" w14:textId="77777777" w:rsidR="007D40E7" w:rsidRDefault="007D40E7" w:rsidP="007D40E7">
      <w:pPr>
        <w:pStyle w:val="ListParagraph"/>
        <w:spacing w:before="240" w:after="240"/>
        <w:ind w:left="502"/>
      </w:pPr>
    </w:p>
    <w:p w14:paraId="3088AF1D" w14:textId="1D0F714A" w:rsidR="007D40E7" w:rsidRDefault="007D40E7" w:rsidP="007D40E7">
      <w:pPr>
        <w:pStyle w:val="ListParagraph"/>
        <w:spacing w:before="240" w:after="240"/>
        <w:ind w:left="502"/>
      </w:pPr>
      <w:r>
        <w:t>Curating the most complete map of medicine indication, use and outcome across the health ecosystem globally, and using this to transform medicines use for patients of all ages, especially those with complex care needs and multiple long-term conditions.</w:t>
      </w:r>
    </w:p>
    <w:p w14:paraId="5C9C8814" w14:textId="670EEBB6" w:rsidR="007D40E7" w:rsidRDefault="007D40E7" w:rsidP="007D40E7">
      <w:pPr>
        <w:pStyle w:val="ListParagraph"/>
        <w:numPr>
          <w:ilvl w:val="0"/>
          <w:numId w:val="26"/>
        </w:numPr>
        <w:spacing w:before="240" w:after="240"/>
      </w:pPr>
      <w:r>
        <w:t xml:space="preserve">Focus on responsive algorithms which support </w:t>
      </w:r>
      <w:proofErr w:type="spellStart"/>
      <w:r>
        <w:t>personalised</w:t>
      </w:r>
      <w:proofErr w:type="spellEnd"/>
      <w:r>
        <w:t xml:space="preserve"> clinical decision making in real time, increase understanding of the impacts of polypharmacy, reducing medicines-related harm and enable de-prescribing, building treatment guidelines which are fit for purpose for our changing demography and care needs, sharing methodologies, guidelines, and recommendations across the globe.</w:t>
      </w:r>
    </w:p>
    <w:p w14:paraId="0D614133" w14:textId="77777777" w:rsidR="007D40E7" w:rsidRDefault="007D40E7" w:rsidP="007D40E7">
      <w:pPr>
        <w:pStyle w:val="ListParagraph"/>
        <w:spacing w:before="240" w:after="240"/>
        <w:ind w:left="1069"/>
      </w:pPr>
    </w:p>
    <w:p w14:paraId="32185D38" w14:textId="77777777" w:rsidR="007D40E7" w:rsidRPr="007D40E7" w:rsidRDefault="007D40E7" w:rsidP="007D40E7">
      <w:pPr>
        <w:pStyle w:val="ListParagraph"/>
        <w:numPr>
          <w:ilvl w:val="0"/>
          <w:numId w:val="24"/>
        </w:numPr>
        <w:spacing w:before="240" w:after="240"/>
      </w:pPr>
      <w:r>
        <w:t xml:space="preserve"> </w:t>
      </w:r>
      <w:r w:rsidRPr="007D40E7">
        <w:rPr>
          <w:b/>
          <w:bCs/>
        </w:rPr>
        <w:t>Inflammation and Immunity (Aziz Sheikh, Jenni Quint)</w:t>
      </w:r>
    </w:p>
    <w:p w14:paraId="3FDB2BB3" w14:textId="77777777" w:rsidR="007D40E7" w:rsidRDefault="007D40E7" w:rsidP="007D40E7">
      <w:pPr>
        <w:spacing w:before="240" w:after="240"/>
        <w:ind w:left="142"/>
      </w:pPr>
      <w:r>
        <w:t xml:space="preserve"> Transforming the UK’s understanding of mechanisms of inflammatory disease and improve management and health outcomes using respiratory and allergic disorders as exemplar clinical domains. </w:t>
      </w:r>
    </w:p>
    <w:p w14:paraId="16E43713" w14:textId="77777777" w:rsidR="007D40E7" w:rsidRDefault="007D40E7" w:rsidP="007D40E7">
      <w:pPr>
        <w:pStyle w:val="ListParagraph"/>
        <w:numPr>
          <w:ilvl w:val="0"/>
          <w:numId w:val="26"/>
        </w:numPr>
        <w:spacing w:before="240" w:after="240"/>
      </w:pPr>
      <w:r>
        <w:t xml:space="preserve">Focus on near real time national mapping of the epidemiology, healthcare </w:t>
      </w:r>
      <w:proofErr w:type="spellStart"/>
      <w:r>
        <w:t>utilisation</w:t>
      </w:r>
      <w:proofErr w:type="spellEnd"/>
      <w:r>
        <w:t xml:space="preserve"> and outcomes of common allergic and respiratory conditions. Identifying inequalities and generating risk prediction algorithms to improve health outcomes and reduce inequalities. Evaluating the cost effectiveness of interventions and sharing outputs globally</w:t>
      </w:r>
    </w:p>
    <w:p w14:paraId="0EF930E4" w14:textId="77777777" w:rsidR="007D40E7" w:rsidRDefault="007D40E7" w:rsidP="007D40E7">
      <w:pPr>
        <w:spacing w:before="240" w:after="240"/>
        <w:ind w:left="709"/>
      </w:pPr>
    </w:p>
    <w:p w14:paraId="3C4BF3A5" w14:textId="77777777" w:rsidR="007D40E7" w:rsidRDefault="007D40E7" w:rsidP="007D40E7">
      <w:pPr>
        <w:pStyle w:val="ListParagraph"/>
        <w:numPr>
          <w:ilvl w:val="0"/>
          <w:numId w:val="24"/>
        </w:numPr>
        <w:spacing w:before="240" w:after="240"/>
      </w:pPr>
      <w:r w:rsidRPr="007D40E7">
        <w:rPr>
          <w:b/>
          <w:bCs/>
        </w:rPr>
        <w:lastRenderedPageBreak/>
        <w:t>Social and Environmental Determinants of Health (Paul Elliott, Ruth Gilbert)</w:t>
      </w:r>
      <w:r>
        <w:t xml:space="preserve"> </w:t>
      </w:r>
    </w:p>
    <w:p w14:paraId="5D5328B7" w14:textId="77777777" w:rsidR="007D40E7" w:rsidRDefault="007D40E7" w:rsidP="007D40E7">
      <w:pPr>
        <w:spacing w:before="240" w:after="240"/>
        <w:ind w:left="142"/>
      </w:pPr>
      <w:r>
        <w:t>Providing national infrastructure and methods to link place-based information on social and environmental determinants of health to existing, longitudinal administrative data from health and related services.</w:t>
      </w:r>
    </w:p>
    <w:p w14:paraId="76714C41" w14:textId="77777777" w:rsidR="007D40E7" w:rsidRDefault="007D40E7" w:rsidP="007D40E7">
      <w:pPr>
        <w:pStyle w:val="ListParagraph"/>
        <w:numPr>
          <w:ilvl w:val="0"/>
          <w:numId w:val="26"/>
        </w:numPr>
        <w:spacing w:before="240" w:after="240"/>
      </w:pPr>
      <w:r>
        <w:t xml:space="preserve">Focus on developing a systematic interoperable approach for using Unique Property Reference Number (UPRN) to link people to their homes and households at a high spatial resolution. Developing computational approaches for </w:t>
      </w:r>
      <w:proofErr w:type="spellStart"/>
      <w:r>
        <w:t>analysing</w:t>
      </w:r>
      <w:proofErr w:type="spellEnd"/>
      <w:r>
        <w:t xml:space="preserve"> UPRN level data over time and linking UPRN level data to broader administrative datasets. Enhancing longitudinal cohorts by appending UPRN-linked </w:t>
      </w:r>
      <w:proofErr w:type="spellStart"/>
      <w:r>
        <w:t>timespecific</w:t>
      </w:r>
      <w:proofErr w:type="spellEnd"/>
      <w:r>
        <w:t xml:space="preserve"> social and environmental data. </w:t>
      </w:r>
    </w:p>
    <w:p w14:paraId="69B38E63" w14:textId="77777777" w:rsidR="007D40E7" w:rsidRDefault="007D40E7" w:rsidP="007D40E7">
      <w:pPr>
        <w:spacing w:before="240" w:after="240"/>
        <w:ind w:left="567"/>
      </w:pPr>
    </w:p>
    <w:p w14:paraId="22D8F13B" w14:textId="3D63C323" w:rsidR="007D40E7" w:rsidRDefault="09A0C50B" w:rsidP="007D40E7">
      <w:pPr>
        <w:pStyle w:val="ListParagraph"/>
        <w:numPr>
          <w:ilvl w:val="0"/>
          <w:numId w:val="24"/>
        </w:numPr>
        <w:spacing w:before="240" w:after="240"/>
      </w:pPr>
      <w:r w:rsidRPr="09A0C50B">
        <w:rPr>
          <w:b/>
          <w:bCs/>
        </w:rPr>
        <w:t>Pandemics and Outbreaks (Kenneth Baillie, co-lead TBC</w:t>
      </w:r>
      <w:r>
        <w:t xml:space="preserve">) </w:t>
      </w:r>
      <w:r w:rsidRPr="09A0C50B">
        <w:rPr>
          <w:i/>
          <w:iCs/>
        </w:rPr>
        <w:t>(currently paused)</w:t>
      </w:r>
    </w:p>
    <w:p w14:paraId="4C03AB4F" w14:textId="77777777" w:rsidR="007D40E7" w:rsidRDefault="10DC5B90" w:rsidP="007D40E7">
      <w:pPr>
        <w:spacing w:before="240" w:after="240"/>
        <w:ind w:left="142"/>
      </w:pPr>
      <w:r>
        <w:t xml:space="preserve">Developing sustainable Outbreak Data Analysis Systems (ODAP) within the UK, through an Antimicrobial Resistance (AMR) exemplar, to create the underpinning infrastructure, skills, and capacity building to rapidly detect and </w:t>
      </w:r>
      <w:proofErr w:type="spellStart"/>
      <w:r>
        <w:t>characterise</w:t>
      </w:r>
      <w:proofErr w:type="spellEnd"/>
      <w:r>
        <w:t xml:space="preserve"> new disease threats causing severe illness, demonstrate their effectiveness and facilitate adoption worldwide. </w:t>
      </w:r>
    </w:p>
    <w:p w14:paraId="0932EFD5" w14:textId="1408F6C1" w:rsidR="007D40E7" w:rsidRDefault="09A0C50B" w:rsidP="007D40E7">
      <w:pPr>
        <w:pStyle w:val="ListParagraph"/>
        <w:numPr>
          <w:ilvl w:val="0"/>
          <w:numId w:val="26"/>
        </w:numPr>
        <w:spacing w:before="240" w:after="240"/>
      </w:pPr>
      <w:r>
        <w:t xml:space="preserve">Focus on creating a robust system to detect important phenotypes of critical illness using automated data collection, </w:t>
      </w:r>
      <w:proofErr w:type="gramStart"/>
      <w:r>
        <w:t>linkage</w:t>
      </w:r>
      <w:proofErr w:type="gramEnd"/>
      <w:r>
        <w:t xml:space="preserve"> and analysis. Using this system to recruit patients into clinical and laboratory research with relevance to pandemics and outbreaks and providing real time feedback to improve the quality of NHS critical care.</w:t>
      </w:r>
    </w:p>
    <w:p w14:paraId="36EF0E60" w14:textId="77777777" w:rsidR="007D40E7" w:rsidRDefault="007D40E7" w:rsidP="007D40E7">
      <w:pPr>
        <w:pStyle w:val="ListParagraph"/>
        <w:spacing w:before="240" w:after="240"/>
        <w:ind w:left="927"/>
      </w:pPr>
    </w:p>
    <w:p w14:paraId="0CF7CAF2" w14:textId="77777777" w:rsidR="007D40E7" w:rsidRPr="007D40E7" w:rsidRDefault="10DC5B90" w:rsidP="007D40E7">
      <w:pPr>
        <w:pStyle w:val="ListParagraph"/>
        <w:numPr>
          <w:ilvl w:val="0"/>
          <w:numId w:val="24"/>
        </w:numPr>
        <w:spacing w:before="240" w:after="240"/>
      </w:pPr>
      <w:r w:rsidRPr="10DC5B90">
        <w:rPr>
          <w:b/>
          <w:bCs/>
        </w:rPr>
        <w:t>Big Data for Complex Disease (Cathie Sudlow, Mark Lawler)</w:t>
      </w:r>
    </w:p>
    <w:p w14:paraId="0EF58426" w14:textId="77777777" w:rsidR="007D40E7" w:rsidRDefault="007D40E7" w:rsidP="007D40E7">
      <w:pPr>
        <w:spacing w:before="240" w:after="240"/>
        <w:ind w:left="142"/>
      </w:pPr>
      <w:r>
        <w:t xml:space="preserve"> Connecting data on all of us to enable improvements in health for all through insights that accelerate and enhance opportunities for innovation in disease detection, diagnosis, treatment, improved care, better </w:t>
      </w:r>
      <w:proofErr w:type="gramStart"/>
      <w:r>
        <w:t>outcomes</w:t>
      </w:r>
      <w:proofErr w:type="gramEnd"/>
      <w:r>
        <w:t xml:space="preserve"> and more rational health policy, initially in cancers and cardiovascular diseases (CVD). </w:t>
      </w:r>
    </w:p>
    <w:p w14:paraId="46DC3C59" w14:textId="0DD08C76" w:rsidR="1232FF20" w:rsidRPr="00117043" w:rsidRDefault="1232FF20" w:rsidP="1232FF20">
      <w:pPr>
        <w:pStyle w:val="ListParagraph"/>
        <w:numPr>
          <w:ilvl w:val="0"/>
          <w:numId w:val="26"/>
        </w:numPr>
        <w:spacing w:before="240" w:after="240"/>
        <w:rPr>
          <w:lang w:val="en-GB"/>
        </w:rPr>
      </w:pPr>
      <w:r>
        <w:t>Focus on improved prediction and risk stratification for cancer and CVD, improved understanding of the inter-relationship between these complex diseases and insights into the impact of inequalities on incidence and outcomes.</w:t>
      </w:r>
    </w:p>
    <w:p w14:paraId="5929D215" w14:textId="20E57668" w:rsidR="1232FF20" w:rsidRDefault="1232FF20" w:rsidP="1232FF20">
      <w:pPr>
        <w:spacing w:before="240" w:after="240"/>
        <w:rPr>
          <w:lang w:val="en-GB"/>
        </w:rPr>
      </w:pPr>
    </w:p>
    <w:p w14:paraId="1DFC4934" w14:textId="72910610" w:rsidR="00117043" w:rsidRDefault="00117043" w:rsidP="1232FF20">
      <w:pPr>
        <w:spacing w:before="240" w:after="240"/>
        <w:rPr>
          <w:lang w:val="en-GB"/>
        </w:rPr>
      </w:pPr>
    </w:p>
    <w:p w14:paraId="40A27A2A" w14:textId="34357BE5" w:rsidR="00117043" w:rsidRDefault="00117043" w:rsidP="1232FF20">
      <w:pPr>
        <w:spacing w:before="240" w:after="240"/>
        <w:rPr>
          <w:lang w:val="en-GB"/>
        </w:rPr>
      </w:pPr>
    </w:p>
    <w:p w14:paraId="02DEC37B" w14:textId="77777777" w:rsidR="00117043" w:rsidRDefault="00117043" w:rsidP="1232FF20">
      <w:pPr>
        <w:spacing w:before="240" w:after="240"/>
        <w:rPr>
          <w:lang w:val="en-GB"/>
        </w:rPr>
      </w:pPr>
    </w:p>
    <w:p w14:paraId="1AAA0DDC" w14:textId="52D2595A" w:rsidR="1232FF20" w:rsidRPr="00117043" w:rsidRDefault="00942A9F" w:rsidP="00550A66">
      <w:pPr>
        <w:spacing w:before="240" w:after="240"/>
        <w:ind w:left="1440"/>
        <w:rPr>
          <w:b/>
          <w:bCs/>
          <w:sz w:val="28"/>
          <w:szCs w:val="28"/>
          <w:lang w:val="en-GB"/>
        </w:rPr>
      </w:pPr>
      <w:r w:rsidRPr="00117043">
        <w:rPr>
          <w:b/>
          <w:bCs/>
          <w:sz w:val="28"/>
          <w:szCs w:val="28"/>
          <w:lang w:val="en-GB"/>
        </w:rPr>
        <w:lastRenderedPageBreak/>
        <w:t>A</w:t>
      </w:r>
      <w:r w:rsidR="1232FF20" w:rsidRPr="00117043">
        <w:rPr>
          <w:b/>
          <w:bCs/>
          <w:sz w:val="28"/>
          <w:szCs w:val="28"/>
          <w:lang w:val="en-GB"/>
        </w:rPr>
        <w:t xml:space="preserve">ppendix B – Summary of </w:t>
      </w:r>
      <w:proofErr w:type="gramStart"/>
      <w:r w:rsidR="1232FF20" w:rsidRPr="00117043">
        <w:rPr>
          <w:b/>
          <w:bCs/>
          <w:sz w:val="28"/>
          <w:szCs w:val="28"/>
          <w:lang w:val="en-GB"/>
        </w:rPr>
        <w:t>Three Year</w:t>
      </w:r>
      <w:proofErr w:type="gramEnd"/>
      <w:r w:rsidR="1232FF20" w:rsidRPr="00117043">
        <w:rPr>
          <w:b/>
          <w:bCs/>
          <w:sz w:val="28"/>
          <w:szCs w:val="28"/>
          <w:lang w:val="en-GB"/>
        </w:rPr>
        <w:t xml:space="preserve"> Studentship Awards Available</w:t>
      </w:r>
    </w:p>
    <w:p w14:paraId="5DF8EEFD" w14:textId="77777777" w:rsidR="00942A9F" w:rsidRDefault="00942A9F">
      <w:pPr>
        <w:pStyle w:val="Heading3"/>
        <w:spacing w:line="259" w:lineRule="auto"/>
        <w:rPr>
          <w:rFonts w:ascii="Roboto" w:eastAsia="Roboto" w:hAnsi="Roboto" w:cs="Roboto"/>
          <w:b/>
          <w:bCs/>
          <w:color w:val="2E2D62"/>
          <w:lang w:val="en-GB"/>
        </w:rPr>
      </w:pPr>
    </w:p>
    <w:p w14:paraId="295B8CD1" w14:textId="1646D147" w:rsidR="00942A9F" w:rsidRPr="00891F6D" w:rsidRDefault="4A78715A" w:rsidP="00891F6D">
      <w:pPr>
        <w:pStyle w:val="GreenHeading1"/>
        <w:rPr>
          <w:rFonts w:eastAsia="Roboto"/>
          <w:sz w:val="32"/>
          <w:szCs w:val="32"/>
          <w:lang w:val="en-GB"/>
        </w:rPr>
      </w:pPr>
      <w:r w:rsidRPr="4A78715A">
        <w:rPr>
          <w:rFonts w:eastAsia="Roboto"/>
          <w:sz w:val="32"/>
          <w:szCs w:val="32"/>
          <w:lang w:val="en-GB"/>
        </w:rPr>
        <w:t>Studentship Award</w:t>
      </w:r>
    </w:p>
    <w:tbl>
      <w:tblPr>
        <w:tblStyle w:val="TableGrid"/>
        <w:tblW w:w="0" w:type="auto"/>
        <w:tblLayout w:type="fixed"/>
        <w:tblLook w:val="06A0" w:firstRow="1" w:lastRow="0" w:firstColumn="1" w:lastColumn="0" w:noHBand="1" w:noVBand="1"/>
      </w:tblPr>
      <w:tblGrid>
        <w:gridCol w:w="4436"/>
        <w:gridCol w:w="6364"/>
      </w:tblGrid>
      <w:tr w:rsidR="4A78715A" w14:paraId="186DD1A0" w14:textId="77777777" w:rsidTr="4A78715A">
        <w:trPr>
          <w:trHeight w:val="315"/>
        </w:trPr>
        <w:tc>
          <w:tcPr>
            <w:tcW w:w="4436"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7728AC4" w14:textId="3F1D9357" w:rsidR="4A78715A" w:rsidRDefault="4A78715A" w:rsidP="4A78715A">
            <w:r w:rsidRPr="4A78715A">
              <w:rPr>
                <w:rFonts w:ascii="Calibri" w:eastAsia="Calibri" w:hAnsi="Calibri" w:cs="Calibri"/>
                <w:b/>
                <w:bCs/>
              </w:rPr>
              <w:t>Item</w:t>
            </w:r>
            <w:r w:rsidRPr="4A78715A">
              <w:rPr>
                <w:rFonts w:ascii="Calibri" w:eastAsia="Calibri" w:hAnsi="Calibri" w:cs="Calibri"/>
              </w:rPr>
              <w:t xml:space="preserve"> </w:t>
            </w:r>
          </w:p>
        </w:tc>
        <w:tc>
          <w:tcPr>
            <w:tcW w:w="6364"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0C45DF4A" w14:textId="3C7A170E" w:rsidR="4A78715A" w:rsidRDefault="4A78715A" w:rsidP="00117043">
            <w:pPr>
              <w:jc w:val="right"/>
              <w:rPr>
                <w:rFonts w:ascii="Calibri" w:eastAsia="Calibri" w:hAnsi="Calibri" w:cs="Calibri"/>
              </w:rPr>
            </w:pPr>
            <w:r w:rsidRPr="4A78715A">
              <w:rPr>
                <w:rFonts w:ascii="Calibri" w:eastAsia="Calibri" w:hAnsi="Calibri" w:cs="Calibri"/>
                <w:b/>
                <w:bCs/>
              </w:rPr>
              <w:t xml:space="preserve">Total per </w:t>
            </w:r>
            <w:proofErr w:type="gramStart"/>
            <w:r w:rsidRPr="4A78715A">
              <w:rPr>
                <w:rFonts w:ascii="Calibri" w:eastAsia="Calibri" w:hAnsi="Calibri" w:cs="Calibri"/>
                <w:b/>
                <w:bCs/>
              </w:rPr>
              <w:t>three year</w:t>
            </w:r>
            <w:proofErr w:type="gramEnd"/>
            <w:r w:rsidRPr="4A78715A">
              <w:rPr>
                <w:rFonts w:ascii="Calibri" w:eastAsia="Calibri" w:hAnsi="Calibri" w:cs="Calibri"/>
                <w:b/>
                <w:bCs/>
              </w:rPr>
              <w:t xml:space="preserve"> studentship</w:t>
            </w:r>
            <w:r w:rsidRPr="4A78715A">
              <w:rPr>
                <w:rFonts w:ascii="Calibri" w:eastAsia="Calibri" w:hAnsi="Calibri" w:cs="Calibri"/>
              </w:rPr>
              <w:t xml:space="preserve"> </w:t>
            </w:r>
          </w:p>
        </w:tc>
      </w:tr>
      <w:tr w:rsidR="4A78715A" w14:paraId="6F839E33" w14:textId="77777777" w:rsidTr="4A78715A">
        <w:trPr>
          <w:trHeight w:val="1245"/>
        </w:trPr>
        <w:tc>
          <w:tcPr>
            <w:tcW w:w="4436" w:type="dxa"/>
            <w:tcBorders>
              <w:top w:val="single" w:sz="8" w:space="0" w:color="000000" w:themeColor="text1"/>
              <w:left w:val="single" w:sz="4" w:space="0" w:color="000000" w:themeColor="text1"/>
              <w:bottom w:val="nil"/>
              <w:right w:val="single" w:sz="8" w:space="0" w:color="000000" w:themeColor="text1"/>
            </w:tcBorders>
            <w:tcMar>
              <w:top w:w="15" w:type="dxa"/>
              <w:left w:w="15" w:type="dxa"/>
              <w:right w:w="15" w:type="dxa"/>
            </w:tcMar>
            <w:vAlign w:val="center"/>
          </w:tcPr>
          <w:p w14:paraId="47219EE0" w14:textId="0A92B18F" w:rsidR="4A78715A" w:rsidRDefault="4A78715A" w:rsidP="4A78715A">
            <w:r w:rsidRPr="4A78715A">
              <w:rPr>
                <w:rFonts w:ascii="Calibri" w:eastAsia="Calibri" w:hAnsi="Calibri" w:cs="Calibri"/>
              </w:rPr>
              <w:t xml:space="preserve">Stipend </w:t>
            </w:r>
          </w:p>
        </w:tc>
        <w:tc>
          <w:tcPr>
            <w:tcW w:w="6364" w:type="dxa"/>
            <w:vMerge w:val="restart"/>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53D6E6D2" w14:textId="60765F1E" w:rsidR="4A78715A" w:rsidRDefault="4A78715A" w:rsidP="00117043">
            <w:pPr>
              <w:jc w:val="right"/>
              <w:rPr>
                <w:rFonts w:ascii="Calibri" w:eastAsia="Calibri" w:hAnsi="Calibri" w:cs="Calibri"/>
              </w:rPr>
            </w:pPr>
            <w:r w:rsidRPr="4A78715A">
              <w:rPr>
                <w:rFonts w:ascii="Calibri" w:eastAsia="Calibri" w:hAnsi="Calibri" w:cs="Calibri"/>
              </w:rPr>
              <w:t xml:space="preserve">Up to* £58,618.15 (outside </w:t>
            </w:r>
            <w:proofErr w:type="gramStart"/>
            <w:r w:rsidRPr="4A78715A">
              <w:rPr>
                <w:rFonts w:ascii="Calibri" w:eastAsia="Calibri" w:hAnsi="Calibri" w:cs="Calibri"/>
              </w:rPr>
              <w:t xml:space="preserve">London) </w:t>
            </w:r>
            <w:r w:rsidRPr="4A78715A">
              <w:rPr>
                <w:rFonts w:ascii="Calibri" w:eastAsia="Calibri" w:hAnsi="Calibri" w:cs="Calibri"/>
                <w:strike/>
                <w:color w:val="D13438"/>
              </w:rPr>
              <w:t xml:space="preserve"> </w:t>
            </w:r>
            <w:r w:rsidRPr="4A78715A">
              <w:rPr>
                <w:rFonts w:ascii="Calibri" w:eastAsia="Calibri" w:hAnsi="Calibri" w:cs="Calibri"/>
              </w:rPr>
              <w:t>up</w:t>
            </w:r>
            <w:proofErr w:type="gramEnd"/>
            <w:r w:rsidRPr="4A78715A">
              <w:rPr>
                <w:rFonts w:ascii="Calibri" w:eastAsia="Calibri" w:hAnsi="Calibri" w:cs="Calibri"/>
              </w:rPr>
              <w:t xml:space="preserve"> to* £65,253.66 (inside London) </w:t>
            </w:r>
          </w:p>
        </w:tc>
      </w:tr>
      <w:tr w:rsidR="4A78715A" w14:paraId="2DA10AB5" w14:textId="77777777" w:rsidTr="4A78715A">
        <w:trPr>
          <w:trHeight w:val="585"/>
        </w:trPr>
        <w:tc>
          <w:tcPr>
            <w:tcW w:w="4436" w:type="dxa"/>
            <w:tcBorders>
              <w:top w:val="nil"/>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FA05671" w14:textId="597A7FD3" w:rsidR="4A78715A" w:rsidRDefault="4A78715A" w:rsidP="4A78715A">
            <w:r w:rsidRPr="4A78715A">
              <w:rPr>
                <w:rFonts w:ascii="Calibri" w:eastAsia="Calibri" w:hAnsi="Calibri" w:cs="Calibri"/>
              </w:rPr>
              <w:t xml:space="preserve">This is a tax-free payment made to the student  </w:t>
            </w:r>
          </w:p>
        </w:tc>
        <w:tc>
          <w:tcPr>
            <w:tcW w:w="6364" w:type="dxa"/>
            <w:vMerge/>
            <w:tcBorders>
              <w:left w:val="single" w:sz="0" w:space="0" w:color="000000" w:themeColor="text1"/>
              <w:bottom w:val="single" w:sz="0" w:space="0" w:color="000000" w:themeColor="text1"/>
              <w:right w:val="single" w:sz="0" w:space="0" w:color="000000" w:themeColor="text1"/>
            </w:tcBorders>
            <w:vAlign w:val="center"/>
          </w:tcPr>
          <w:p w14:paraId="0ACABEEA" w14:textId="77777777" w:rsidR="00E50CDD" w:rsidRDefault="00E50CDD"/>
        </w:tc>
      </w:tr>
      <w:tr w:rsidR="4A78715A" w14:paraId="7F9EEB7B" w14:textId="77777777" w:rsidTr="4A78715A">
        <w:trPr>
          <w:trHeight w:val="585"/>
        </w:trPr>
        <w:tc>
          <w:tcPr>
            <w:tcW w:w="4436" w:type="dxa"/>
            <w:tcBorders>
              <w:top w:val="single" w:sz="8" w:space="0" w:color="000000" w:themeColor="text1"/>
              <w:left w:val="single" w:sz="4" w:space="0" w:color="000000" w:themeColor="text1"/>
              <w:bottom w:val="nil"/>
              <w:right w:val="single" w:sz="8" w:space="0" w:color="000000" w:themeColor="text1"/>
            </w:tcBorders>
            <w:tcMar>
              <w:top w:w="15" w:type="dxa"/>
              <w:left w:w="15" w:type="dxa"/>
              <w:right w:w="15" w:type="dxa"/>
            </w:tcMar>
            <w:vAlign w:val="center"/>
          </w:tcPr>
          <w:p w14:paraId="01E5055C" w14:textId="7AE6C7C3" w:rsidR="4A78715A" w:rsidRDefault="4A78715A" w:rsidP="4A78715A">
            <w:r w:rsidRPr="4A78715A">
              <w:rPr>
                <w:rFonts w:ascii="Calibri" w:eastAsia="Calibri" w:hAnsi="Calibri" w:cs="Calibri"/>
              </w:rPr>
              <w:t xml:space="preserve">Research training and support grant </w:t>
            </w:r>
          </w:p>
        </w:tc>
        <w:tc>
          <w:tcPr>
            <w:tcW w:w="6364"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2EF5C9DD" w14:textId="699B6314" w:rsidR="4A78715A" w:rsidRDefault="4A78715A" w:rsidP="00117043">
            <w:pPr>
              <w:jc w:val="right"/>
              <w:rPr>
                <w:rFonts w:ascii="Calibri" w:eastAsia="Calibri" w:hAnsi="Calibri" w:cs="Calibri"/>
              </w:rPr>
            </w:pPr>
            <w:r w:rsidRPr="4A78715A">
              <w:rPr>
                <w:rFonts w:ascii="Calibri" w:eastAsia="Calibri" w:hAnsi="Calibri" w:cs="Calibri"/>
              </w:rPr>
              <w:t xml:space="preserve">£15,000 (£5,000 per year) </w:t>
            </w:r>
          </w:p>
        </w:tc>
      </w:tr>
      <w:tr w:rsidR="4A78715A" w14:paraId="77D7A64B" w14:textId="77777777" w:rsidTr="4A78715A">
        <w:trPr>
          <w:trHeight w:val="630"/>
        </w:trPr>
        <w:tc>
          <w:tcPr>
            <w:tcW w:w="4436" w:type="dxa"/>
            <w:tcBorders>
              <w:top w:val="nil"/>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54E2F6E" w14:textId="7FF11B8B" w:rsidR="4A78715A" w:rsidRDefault="4A78715A" w:rsidP="4A78715A">
            <w:r w:rsidRPr="4A78715A">
              <w:rPr>
                <w:rFonts w:ascii="Calibri" w:eastAsia="Calibri" w:hAnsi="Calibri" w:cs="Calibri"/>
              </w:rPr>
              <w:t xml:space="preserve">Contribution towards consumable costs of training research students. </w:t>
            </w:r>
          </w:p>
        </w:tc>
        <w:tc>
          <w:tcPr>
            <w:tcW w:w="6364" w:type="dxa"/>
            <w:vMerge/>
            <w:tcBorders>
              <w:left w:val="single" w:sz="0" w:space="0" w:color="000000" w:themeColor="text1"/>
              <w:bottom w:val="single" w:sz="0" w:space="0" w:color="000000" w:themeColor="text1"/>
              <w:right w:val="single" w:sz="0" w:space="0" w:color="000000" w:themeColor="text1"/>
            </w:tcBorders>
            <w:vAlign w:val="center"/>
          </w:tcPr>
          <w:p w14:paraId="11C79664" w14:textId="77777777" w:rsidR="00E50CDD" w:rsidRDefault="00E50CDD"/>
        </w:tc>
      </w:tr>
      <w:tr w:rsidR="4A78715A" w14:paraId="6664EFDC" w14:textId="77777777" w:rsidTr="4A78715A">
        <w:trPr>
          <w:trHeight w:val="585"/>
        </w:trPr>
        <w:tc>
          <w:tcPr>
            <w:tcW w:w="4436" w:type="dxa"/>
            <w:tcBorders>
              <w:top w:val="single" w:sz="8" w:space="0" w:color="000000" w:themeColor="text1"/>
              <w:left w:val="single" w:sz="4" w:space="0" w:color="000000" w:themeColor="text1"/>
              <w:bottom w:val="nil"/>
              <w:right w:val="single" w:sz="8" w:space="0" w:color="000000" w:themeColor="text1"/>
            </w:tcBorders>
            <w:tcMar>
              <w:top w:w="15" w:type="dxa"/>
              <w:left w:w="15" w:type="dxa"/>
              <w:right w:w="15" w:type="dxa"/>
            </w:tcMar>
            <w:vAlign w:val="center"/>
          </w:tcPr>
          <w:p w14:paraId="2426FECD" w14:textId="0AB4ECB3" w:rsidR="4A78715A" w:rsidRDefault="4A78715A" w:rsidP="4A78715A">
            <w:r w:rsidRPr="4A78715A">
              <w:rPr>
                <w:rFonts w:ascii="Calibri" w:eastAsia="Calibri" w:hAnsi="Calibri" w:cs="Calibri"/>
              </w:rPr>
              <w:t xml:space="preserve">Travel and conference allowance </w:t>
            </w:r>
          </w:p>
        </w:tc>
        <w:tc>
          <w:tcPr>
            <w:tcW w:w="6364"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399BEB11" w14:textId="3A2D1DB7" w:rsidR="4A78715A" w:rsidRDefault="4A78715A" w:rsidP="00117043">
            <w:pPr>
              <w:jc w:val="right"/>
              <w:rPr>
                <w:rFonts w:ascii="Calibri" w:eastAsia="Calibri" w:hAnsi="Calibri" w:cs="Calibri"/>
              </w:rPr>
            </w:pPr>
            <w:r w:rsidRPr="4A78715A">
              <w:rPr>
                <w:rFonts w:ascii="Calibri" w:eastAsia="Calibri" w:hAnsi="Calibri" w:cs="Calibri"/>
              </w:rPr>
              <w:t xml:space="preserve">£900 (£300 per year) </w:t>
            </w:r>
          </w:p>
        </w:tc>
      </w:tr>
      <w:tr w:rsidR="4A78715A" w14:paraId="19246111" w14:textId="77777777" w:rsidTr="4A78715A">
        <w:trPr>
          <w:trHeight w:val="615"/>
        </w:trPr>
        <w:tc>
          <w:tcPr>
            <w:tcW w:w="4436" w:type="dxa"/>
            <w:tcBorders>
              <w:top w:val="nil"/>
              <w:left w:val="single" w:sz="4" w:space="0" w:color="000000" w:themeColor="text1"/>
              <w:bottom w:val="nil"/>
              <w:right w:val="single" w:sz="8" w:space="0" w:color="000000" w:themeColor="text1"/>
            </w:tcBorders>
            <w:tcMar>
              <w:top w:w="15" w:type="dxa"/>
              <w:left w:w="15" w:type="dxa"/>
              <w:right w:w="15" w:type="dxa"/>
            </w:tcMar>
            <w:vAlign w:val="center"/>
          </w:tcPr>
          <w:p w14:paraId="589D5EB0" w14:textId="6148D808" w:rsidR="4A78715A" w:rsidRDefault="4A78715A" w:rsidP="4A78715A">
            <w:r w:rsidRPr="4A78715A">
              <w:rPr>
                <w:rFonts w:ascii="Calibri" w:eastAsia="Calibri" w:hAnsi="Calibri" w:cs="Calibri"/>
              </w:rPr>
              <w:t xml:space="preserve">Contribution to the costs of attending scientific conferences, </w:t>
            </w:r>
            <w:proofErr w:type="gramStart"/>
            <w:r w:rsidRPr="4A78715A">
              <w:rPr>
                <w:rFonts w:ascii="Calibri" w:eastAsia="Calibri" w:hAnsi="Calibri" w:cs="Calibri"/>
              </w:rPr>
              <w:t>workshops</w:t>
            </w:r>
            <w:proofErr w:type="gramEnd"/>
            <w:r w:rsidRPr="4A78715A">
              <w:rPr>
                <w:rFonts w:ascii="Calibri" w:eastAsia="Calibri" w:hAnsi="Calibri" w:cs="Calibri"/>
              </w:rPr>
              <w:t xml:space="preserve"> or visits to collaborators. </w:t>
            </w:r>
          </w:p>
        </w:tc>
        <w:tc>
          <w:tcPr>
            <w:tcW w:w="6364" w:type="dxa"/>
            <w:vMerge/>
            <w:tcBorders>
              <w:left w:val="single" w:sz="0" w:space="0" w:color="000000" w:themeColor="text1"/>
              <w:bottom w:val="single" w:sz="0" w:space="0" w:color="000000" w:themeColor="text1"/>
              <w:right w:val="single" w:sz="0" w:space="0" w:color="000000" w:themeColor="text1"/>
            </w:tcBorders>
            <w:vAlign w:val="center"/>
          </w:tcPr>
          <w:p w14:paraId="354078B2" w14:textId="77777777" w:rsidR="00E50CDD" w:rsidRDefault="00E50CDD"/>
        </w:tc>
      </w:tr>
      <w:tr w:rsidR="4A78715A" w14:paraId="7EEB0103" w14:textId="77777777" w:rsidTr="4A78715A">
        <w:trPr>
          <w:trHeight w:val="315"/>
        </w:trPr>
        <w:tc>
          <w:tcPr>
            <w:tcW w:w="4436" w:type="dxa"/>
            <w:tcBorders>
              <w:top w:val="nil"/>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9B34801" w14:textId="03310375" w:rsidR="4A78715A" w:rsidRDefault="4A78715A" w:rsidP="4A78715A">
            <w:r w:rsidRPr="4A78715A">
              <w:rPr>
                <w:rFonts w:ascii="Calibri" w:eastAsia="Calibri" w:hAnsi="Calibri" w:cs="Calibri"/>
              </w:rPr>
              <w:t xml:space="preserve"> </w:t>
            </w:r>
          </w:p>
        </w:tc>
        <w:tc>
          <w:tcPr>
            <w:tcW w:w="6364" w:type="dxa"/>
            <w:vMerge/>
            <w:tcBorders>
              <w:left w:val="single" w:sz="0" w:space="0" w:color="000000" w:themeColor="text1"/>
              <w:bottom w:val="single" w:sz="0" w:space="0" w:color="000000" w:themeColor="text1"/>
              <w:right w:val="single" w:sz="0" w:space="0" w:color="000000" w:themeColor="text1"/>
            </w:tcBorders>
            <w:vAlign w:val="center"/>
          </w:tcPr>
          <w:p w14:paraId="5CF05541" w14:textId="77777777" w:rsidR="00E50CDD" w:rsidRDefault="00E50CDD"/>
        </w:tc>
      </w:tr>
      <w:tr w:rsidR="4A78715A" w14:paraId="58DA597E" w14:textId="77777777" w:rsidTr="4A78715A">
        <w:trPr>
          <w:trHeight w:val="315"/>
        </w:trPr>
        <w:tc>
          <w:tcPr>
            <w:tcW w:w="4436"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07C29E96" w14:textId="73B4125E" w:rsidR="4A78715A" w:rsidRDefault="4A78715A" w:rsidP="4A78715A">
            <w:r w:rsidRPr="4A78715A">
              <w:rPr>
                <w:rFonts w:ascii="Calibri" w:eastAsia="Calibri" w:hAnsi="Calibri" w:cs="Calibri"/>
              </w:rPr>
              <w:t xml:space="preserve">TOTAL </w:t>
            </w:r>
          </w:p>
        </w:tc>
        <w:tc>
          <w:tcPr>
            <w:tcW w:w="6364" w:type="dxa"/>
            <w:tcBorders>
              <w:top w:val="nil"/>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D0353E9" w14:textId="15E3D0CA" w:rsidR="4A78715A" w:rsidRDefault="4A78715A" w:rsidP="00117043">
            <w:pPr>
              <w:jc w:val="right"/>
              <w:rPr>
                <w:rFonts w:ascii="Calibri" w:eastAsia="Calibri" w:hAnsi="Calibri" w:cs="Calibri"/>
              </w:rPr>
            </w:pPr>
            <w:r w:rsidRPr="4A78715A">
              <w:rPr>
                <w:rFonts w:ascii="Calibri" w:eastAsia="Calibri" w:hAnsi="Calibri" w:cs="Calibri"/>
              </w:rPr>
              <w:t>£74,518.15 (outside London) - £81,153.66 (inside London)</w:t>
            </w:r>
          </w:p>
        </w:tc>
      </w:tr>
    </w:tbl>
    <w:p w14:paraId="35D748D7" w14:textId="71BEFEE0" w:rsidR="00942A9F" w:rsidRPr="00550A66" w:rsidRDefault="00942A9F" w:rsidP="4A78715A">
      <w:pPr>
        <w:rPr>
          <w:lang w:val="en-GB"/>
        </w:rPr>
      </w:pPr>
    </w:p>
    <w:p w14:paraId="7C693ACD" w14:textId="73570A85" w:rsidR="4A78715A" w:rsidRDefault="4A78715A" w:rsidP="4A78715A">
      <w:pPr>
        <w:rPr>
          <w:lang w:val="en-GB"/>
        </w:rPr>
      </w:pPr>
    </w:p>
    <w:p w14:paraId="5B20A40F" w14:textId="77777777" w:rsidR="00942A9F" w:rsidRDefault="00942A9F">
      <w:pPr>
        <w:pStyle w:val="Heading3"/>
        <w:spacing w:line="259" w:lineRule="auto"/>
        <w:rPr>
          <w:rFonts w:ascii="Roboto" w:eastAsia="Roboto" w:hAnsi="Roboto" w:cs="Roboto"/>
          <w:b/>
          <w:bCs/>
          <w:color w:val="2E2D62"/>
          <w:lang w:val="en-GB"/>
        </w:rPr>
      </w:pPr>
    </w:p>
    <w:p w14:paraId="10FC1111" w14:textId="45EE4259" w:rsidR="1232FF20" w:rsidRPr="00891F6D" w:rsidRDefault="00942A9F" w:rsidP="00891F6D">
      <w:pPr>
        <w:pStyle w:val="GreenHeading1"/>
        <w:rPr>
          <w:rFonts w:eastAsia="Roboto"/>
          <w:sz w:val="28"/>
          <w:szCs w:val="28"/>
          <w:lang w:val="en-GB"/>
        </w:rPr>
      </w:pPr>
      <w:r w:rsidRPr="00891F6D">
        <w:rPr>
          <w:rFonts w:eastAsia="Roboto"/>
          <w:sz w:val="28"/>
          <w:szCs w:val="28"/>
          <w:lang w:val="en-GB"/>
        </w:rPr>
        <w:t>What is not included</w:t>
      </w:r>
    </w:p>
    <w:p w14:paraId="664C1052" w14:textId="115F8DDB" w:rsidR="00942A9F" w:rsidRPr="00891F6D" w:rsidRDefault="00942A9F" w:rsidP="00E95755">
      <w:pPr>
        <w:pStyle w:val="ListParagraph"/>
        <w:numPr>
          <w:ilvl w:val="0"/>
          <w:numId w:val="26"/>
        </w:numPr>
        <w:spacing w:before="240" w:after="240"/>
        <w:rPr>
          <w:rFonts w:ascii="Calibri" w:hAnsi="Calibri" w:cs="Calibri"/>
          <w:lang w:val="en-GB"/>
        </w:rPr>
      </w:pPr>
      <w:r w:rsidRPr="00891F6D">
        <w:rPr>
          <w:rFonts w:ascii="Calibri" w:hAnsi="Calibri" w:cs="Calibri"/>
          <w:b/>
          <w:bCs/>
          <w:shd w:val="clear" w:color="auto" w:fill="FFFFFF"/>
        </w:rPr>
        <w:t xml:space="preserve">Sessional fees including tuition, supervision, </w:t>
      </w:r>
      <w:proofErr w:type="gramStart"/>
      <w:r w:rsidRPr="00891F6D">
        <w:rPr>
          <w:rFonts w:ascii="Calibri" w:hAnsi="Calibri" w:cs="Calibri"/>
          <w:b/>
          <w:bCs/>
          <w:shd w:val="clear" w:color="auto" w:fill="FFFFFF"/>
        </w:rPr>
        <w:t>registration</w:t>
      </w:r>
      <w:proofErr w:type="gramEnd"/>
      <w:r w:rsidRPr="00891F6D">
        <w:rPr>
          <w:rFonts w:ascii="Calibri" w:hAnsi="Calibri" w:cs="Calibri"/>
          <w:b/>
          <w:bCs/>
          <w:shd w:val="clear" w:color="auto" w:fill="FFFFFF"/>
        </w:rPr>
        <w:t xml:space="preserve"> and bench fees</w:t>
      </w:r>
      <w:r w:rsidR="00E95755" w:rsidRPr="00891F6D">
        <w:rPr>
          <w:rFonts w:ascii="Calibri" w:hAnsi="Calibri" w:cs="Calibri"/>
          <w:shd w:val="clear" w:color="auto" w:fill="FFFFFF"/>
        </w:rPr>
        <w:t xml:space="preserve"> </w:t>
      </w:r>
      <w:r w:rsidR="00E95755" w:rsidRPr="00891F6D">
        <w:t>(including, where needed, the relevant overseas supplement for non-UK home students</w:t>
      </w:r>
    </w:p>
    <w:p w14:paraId="19D1CF7F" w14:textId="15D423B7" w:rsidR="00E95755" w:rsidRPr="00891F6D" w:rsidRDefault="00E95755" w:rsidP="00550A66">
      <w:pPr>
        <w:pStyle w:val="ListParagraph"/>
        <w:numPr>
          <w:ilvl w:val="0"/>
          <w:numId w:val="26"/>
        </w:numPr>
        <w:spacing w:before="240" w:after="240"/>
        <w:rPr>
          <w:rFonts w:ascii="Calibri" w:hAnsi="Calibri" w:cs="Calibri"/>
          <w:lang w:val="en-GB"/>
        </w:rPr>
      </w:pPr>
      <w:r w:rsidRPr="00891F6D">
        <w:rPr>
          <w:rFonts w:ascii="Calibri" w:hAnsi="Calibri" w:cs="Calibri"/>
          <w:shd w:val="clear" w:color="auto" w:fill="FFFFFF"/>
        </w:rPr>
        <w:t>The cost of an optional fourth year</w:t>
      </w:r>
    </w:p>
    <w:p w14:paraId="204F9644" w14:textId="579C5E82" w:rsidR="1232FF20" w:rsidRPr="00891F6D" w:rsidRDefault="1232FF20" w:rsidP="1232FF20">
      <w:pPr>
        <w:spacing w:before="240" w:after="240"/>
        <w:rPr>
          <w:lang w:val="en-GB"/>
        </w:rPr>
      </w:pPr>
    </w:p>
    <w:p w14:paraId="56CB3459" w14:textId="30CE9B33" w:rsidR="1232FF20" w:rsidRDefault="1232FF20" w:rsidP="1232FF20">
      <w:pPr>
        <w:spacing w:before="240" w:after="240"/>
        <w:ind w:left="1440"/>
        <w:rPr>
          <w:lang w:val="en-GB"/>
        </w:rPr>
      </w:pPr>
    </w:p>
    <w:sectPr w:rsidR="1232FF20" w:rsidSect="008D6D7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ECBC" w14:textId="77777777" w:rsidR="00141681" w:rsidRDefault="00141681">
      <w:r>
        <w:separator/>
      </w:r>
    </w:p>
  </w:endnote>
  <w:endnote w:type="continuationSeparator" w:id="0">
    <w:p w14:paraId="6AFD0AD8" w14:textId="77777777" w:rsidR="00141681" w:rsidRDefault="0014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6A38B3" w14:paraId="1A8549A6" w14:textId="77777777" w:rsidTr="293A76ED">
      <w:tc>
        <w:tcPr>
          <w:tcW w:w="3120" w:type="dxa"/>
        </w:tcPr>
        <w:p w14:paraId="67E8655E" w14:textId="4F9D5966" w:rsidR="256A38B3" w:rsidRDefault="256A38B3" w:rsidP="256A38B3">
          <w:pPr>
            <w:pStyle w:val="Header"/>
            <w:ind w:left="-115"/>
          </w:pPr>
        </w:p>
      </w:tc>
      <w:tc>
        <w:tcPr>
          <w:tcW w:w="3120" w:type="dxa"/>
        </w:tcPr>
        <w:p w14:paraId="0CFC737B" w14:textId="507ED945" w:rsidR="256A38B3" w:rsidRDefault="256A38B3" w:rsidP="256A38B3">
          <w:pPr>
            <w:pStyle w:val="Header"/>
            <w:jc w:val="center"/>
          </w:pPr>
        </w:p>
      </w:tc>
      <w:tc>
        <w:tcPr>
          <w:tcW w:w="3120" w:type="dxa"/>
        </w:tcPr>
        <w:p w14:paraId="6CE2B8A8" w14:textId="7535FB80" w:rsidR="256A38B3" w:rsidRDefault="256A38B3" w:rsidP="256A38B3">
          <w:pPr>
            <w:pStyle w:val="Header"/>
            <w:ind w:right="-115"/>
            <w:jc w:val="right"/>
          </w:pPr>
          <w:r>
            <w:fldChar w:fldCharType="begin"/>
          </w:r>
          <w:r>
            <w:instrText>PAGE</w:instrText>
          </w:r>
          <w:r>
            <w:fldChar w:fldCharType="separate"/>
          </w:r>
          <w:r w:rsidR="008D6D7C">
            <w:rPr>
              <w:noProof/>
            </w:rPr>
            <w:t>1</w:t>
          </w:r>
          <w:r>
            <w:fldChar w:fldCharType="end"/>
          </w:r>
        </w:p>
      </w:tc>
    </w:tr>
  </w:tbl>
  <w:p w14:paraId="6CDF00D1" w14:textId="4F5E2A5D" w:rsidR="256A38B3" w:rsidRDefault="256A38B3" w:rsidP="256A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AB41" w14:textId="77777777" w:rsidR="00141681" w:rsidRDefault="00141681">
      <w:r>
        <w:separator/>
      </w:r>
    </w:p>
  </w:footnote>
  <w:footnote w:type="continuationSeparator" w:id="0">
    <w:p w14:paraId="589712A5" w14:textId="77777777" w:rsidR="00141681" w:rsidRDefault="00141681">
      <w:r>
        <w:continuationSeparator/>
      </w:r>
    </w:p>
  </w:footnote>
  <w:footnote w:id="1">
    <w:p w14:paraId="4C995FD8" w14:textId="77777777" w:rsidR="00CA2FDB" w:rsidRDefault="00CA2FDB">
      <w:pPr>
        <w:pStyle w:val="FootnoteText"/>
        <w:rPr>
          <w:lang w:val="en-GB"/>
        </w:rPr>
      </w:pPr>
      <w:r>
        <w:rPr>
          <w:rStyle w:val="FootnoteReference"/>
        </w:rPr>
        <w:footnoteRef/>
      </w:r>
      <w:r>
        <w:t xml:space="preserve"> </w:t>
      </w:r>
      <w:r>
        <w:rPr>
          <w:lang w:val="en-GB"/>
        </w:rPr>
        <w:t xml:space="preserve">Funding available per studentship as per MRC Guidance </w:t>
      </w:r>
    </w:p>
    <w:p w14:paraId="103BE632" w14:textId="621C2165" w:rsidR="00CA2FDB" w:rsidRPr="00CA2FDB" w:rsidRDefault="00000000">
      <w:pPr>
        <w:pStyle w:val="FootnoteText"/>
        <w:rPr>
          <w:lang w:val="en-GB"/>
        </w:rPr>
      </w:pPr>
      <w:hyperlink r:id="rId1" w:history="1">
        <w:r w:rsidR="00CA2FDB" w:rsidRPr="001E0CB2">
          <w:rPr>
            <w:rStyle w:val="Hyperlink"/>
            <w:lang w:val="en-GB"/>
          </w:rPr>
          <w:t>https://www.ukri.org/what-we-offer/developing-people-and-skills/mrc/mrc-studentships/minimum-amounts-for-studentship-stipends-and-allowances/</w:t>
        </w:r>
      </w:hyperlink>
      <w:r w:rsidR="00CA2FDB">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E2B4" w14:textId="2EA20643" w:rsidR="00EE62DF" w:rsidRDefault="00EE62DF" w:rsidP="009E72F1">
    <w:pPr>
      <w:tabs>
        <w:tab w:val="left" w:pos="8640"/>
      </w:tabs>
      <w:rPr>
        <w:rFonts w:ascii="Calibri" w:eastAsia="Calibri" w:hAnsi="Calibri" w:cs="Calibri"/>
        <w:color w:val="000000" w:themeColor="text1"/>
      </w:rPr>
    </w:pPr>
    <w:r>
      <w:rPr>
        <w:rFonts w:ascii="Calibri Light" w:eastAsia="Calibri Light" w:hAnsi="Calibri Light" w:cs="Calibri Light"/>
        <w:b/>
        <w:bCs/>
        <w:noProof/>
        <w:color w:val="3CB28C"/>
        <w:sz w:val="48"/>
        <w:szCs w:val="48"/>
      </w:rPr>
      <w:drawing>
        <wp:anchor distT="0" distB="0" distL="114300" distR="114300" simplePos="0" relativeHeight="251660288" behindDoc="1" locked="0" layoutInCell="1" allowOverlap="1" wp14:anchorId="1D0F7417" wp14:editId="58F3AC27">
          <wp:simplePos x="0" y="0"/>
          <wp:positionH relativeFrom="margin">
            <wp:posOffset>-95250</wp:posOffset>
          </wp:positionH>
          <wp:positionV relativeFrom="paragraph">
            <wp:posOffset>-67310</wp:posOffset>
          </wp:positionV>
          <wp:extent cx="2105025" cy="975995"/>
          <wp:effectExtent l="0" t="0" r="9525" b="0"/>
          <wp:wrapTight wrapText="bothSides">
            <wp:wrapPolygon edited="0">
              <wp:start x="0" y="0"/>
              <wp:lineTo x="0" y="21080"/>
              <wp:lineTo x="21502" y="21080"/>
              <wp:lineTo x="215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025" cy="975995"/>
                  </a:xfrm>
                  <a:prstGeom prst="rect">
                    <a:avLst/>
                  </a:prstGeom>
                </pic:spPr>
              </pic:pic>
            </a:graphicData>
          </a:graphic>
          <wp14:sizeRelH relativeFrom="margin">
            <wp14:pctWidth>0</wp14:pctWidth>
          </wp14:sizeRelH>
          <wp14:sizeRelV relativeFrom="margin">
            <wp14:pctHeight>0</wp14:pctHeight>
          </wp14:sizeRelV>
        </wp:anchor>
      </w:drawing>
    </w:r>
  </w:p>
  <w:p w14:paraId="3B2C0A96" w14:textId="2DB9B55F" w:rsidR="00EE62DF" w:rsidRDefault="00EE62DF" w:rsidP="009E72F1">
    <w:pPr>
      <w:tabs>
        <w:tab w:val="left" w:pos="8640"/>
      </w:tabs>
      <w:rPr>
        <w:rFonts w:ascii="Calibri" w:eastAsia="Calibri" w:hAnsi="Calibri" w:cs="Calibri"/>
        <w:color w:val="000000" w:themeColor="text1"/>
      </w:rPr>
    </w:pPr>
  </w:p>
  <w:p w14:paraId="2220E64A" w14:textId="5B6DAF06" w:rsidR="00EE62DF" w:rsidRDefault="00EE62DF" w:rsidP="009E72F1">
    <w:pPr>
      <w:tabs>
        <w:tab w:val="left" w:pos="8640"/>
      </w:tabs>
      <w:rPr>
        <w:rFonts w:ascii="Calibri" w:eastAsia="Calibri" w:hAnsi="Calibri" w:cs="Calibri"/>
        <w:color w:val="000000" w:themeColor="text1"/>
      </w:rPr>
    </w:pPr>
  </w:p>
  <w:p w14:paraId="19E05F3C" w14:textId="593066E0" w:rsidR="00EE62DF" w:rsidRDefault="00EE62DF" w:rsidP="009E72F1">
    <w:pPr>
      <w:tabs>
        <w:tab w:val="left" w:pos="8640"/>
      </w:tabs>
      <w:rPr>
        <w:rFonts w:ascii="Calibri" w:eastAsia="Calibri" w:hAnsi="Calibri" w:cs="Calibri"/>
        <w:color w:val="000000" w:themeColor="text1"/>
      </w:rPr>
    </w:pPr>
  </w:p>
  <w:p w14:paraId="30E79324" w14:textId="77777777" w:rsidR="00EE62DF" w:rsidRDefault="00EE62DF" w:rsidP="009E72F1">
    <w:pPr>
      <w:tabs>
        <w:tab w:val="left" w:pos="8640"/>
      </w:tabs>
      <w:rPr>
        <w:rFonts w:ascii="Calibri" w:eastAsia="Calibri" w:hAnsi="Calibri" w:cs="Calibri"/>
        <w:color w:val="000000" w:themeColor="text1"/>
      </w:rPr>
    </w:pPr>
  </w:p>
  <w:p w14:paraId="0F0CFF79" w14:textId="5D4152A0" w:rsidR="256A38B3" w:rsidRDefault="256A38B3" w:rsidP="009E72F1">
    <w:pPr>
      <w:tabs>
        <w:tab w:val="left" w:pos="8640"/>
      </w:tabs>
      <w:rPr>
        <w:rFonts w:ascii="Calibri" w:eastAsia="Calibri" w:hAnsi="Calibri" w:cs="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44D"/>
    <w:multiLevelType w:val="hybridMultilevel"/>
    <w:tmpl w:val="394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DB8"/>
    <w:multiLevelType w:val="hybridMultilevel"/>
    <w:tmpl w:val="7F50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22D15"/>
    <w:multiLevelType w:val="hybridMultilevel"/>
    <w:tmpl w:val="80547D7A"/>
    <w:lvl w:ilvl="0" w:tplc="29D8C5D0">
      <w:start w:val="1"/>
      <w:numFmt w:val="bullet"/>
      <w:lvlText w:val=""/>
      <w:lvlJc w:val="left"/>
      <w:pPr>
        <w:ind w:left="720" w:hanging="360"/>
      </w:pPr>
      <w:rPr>
        <w:rFonts w:ascii="Symbol" w:hAnsi="Symbol" w:hint="default"/>
      </w:rPr>
    </w:lvl>
    <w:lvl w:ilvl="1" w:tplc="5B08D9F2">
      <w:start w:val="1"/>
      <w:numFmt w:val="bullet"/>
      <w:lvlText w:val="o"/>
      <w:lvlJc w:val="left"/>
      <w:pPr>
        <w:ind w:left="1440" w:hanging="360"/>
      </w:pPr>
      <w:rPr>
        <w:rFonts w:ascii="Courier New" w:hAnsi="Courier New" w:hint="default"/>
      </w:rPr>
    </w:lvl>
    <w:lvl w:ilvl="2" w:tplc="BF440424">
      <w:start w:val="1"/>
      <w:numFmt w:val="bullet"/>
      <w:lvlText w:val=""/>
      <w:lvlJc w:val="left"/>
      <w:pPr>
        <w:ind w:left="2160" w:hanging="360"/>
      </w:pPr>
      <w:rPr>
        <w:rFonts w:ascii="Wingdings" w:hAnsi="Wingdings" w:hint="default"/>
      </w:rPr>
    </w:lvl>
    <w:lvl w:ilvl="3" w:tplc="3B4677FA">
      <w:start w:val="1"/>
      <w:numFmt w:val="bullet"/>
      <w:lvlText w:val=""/>
      <w:lvlJc w:val="left"/>
      <w:pPr>
        <w:ind w:left="2880" w:hanging="360"/>
      </w:pPr>
      <w:rPr>
        <w:rFonts w:ascii="Symbol" w:hAnsi="Symbol" w:hint="default"/>
      </w:rPr>
    </w:lvl>
    <w:lvl w:ilvl="4" w:tplc="4B8216D0">
      <w:start w:val="1"/>
      <w:numFmt w:val="bullet"/>
      <w:lvlText w:val="o"/>
      <w:lvlJc w:val="left"/>
      <w:pPr>
        <w:ind w:left="3600" w:hanging="360"/>
      </w:pPr>
      <w:rPr>
        <w:rFonts w:ascii="Courier New" w:hAnsi="Courier New" w:hint="default"/>
      </w:rPr>
    </w:lvl>
    <w:lvl w:ilvl="5" w:tplc="AB36A8F8">
      <w:start w:val="1"/>
      <w:numFmt w:val="bullet"/>
      <w:lvlText w:val=""/>
      <w:lvlJc w:val="left"/>
      <w:pPr>
        <w:ind w:left="4320" w:hanging="360"/>
      </w:pPr>
      <w:rPr>
        <w:rFonts w:ascii="Wingdings" w:hAnsi="Wingdings" w:hint="default"/>
      </w:rPr>
    </w:lvl>
    <w:lvl w:ilvl="6" w:tplc="BF16643A">
      <w:start w:val="1"/>
      <w:numFmt w:val="bullet"/>
      <w:lvlText w:val=""/>
      <w:lvlJc w:val="left"/>
      <w:pPr>
        <w:ind w:left="5040" w:hanging="360"/>
      </w:pPr>
      <w:rPr>
        <w:rFonts w:ascii="Symbol" w:hAnsi="Symbol" w:hint="default"/>
      </w:rPr>
    </w:lvl>
    <w:lvl w:ilvl="7" w:tplc="99C22964">
      <w:start w:val="1"/>
      <w:numFmt w:val="bullet"/>
      <w:lvlText w:val="o"/>
      <w:lvlJc w:val="left"/>
      <w:pPr>
        <w:ind w:left="5760" w:hanging="360"/>
      </w:pPr>
      <w:rPr>
        <w:rFonts w:ascii="Courier New" w:hAnsi="Courier New" w:hint="default"/>
      </w:rPr>
    </w:lvl>
    <w:lvl w:ilvl="8" w:tplc="669AB022">
      <w:start w:val="1"/>
      <w:numFmt w:val="bullet"/>
      <w:lvlText w:val=""/>
      <w:lvlJc w:val="left"/>
      <w:pPr>
        <w:ind w:left="6480" w:hanging="360"/>
      </w:pPr>
      <w:rPr>
        <w:rFonts w:ascii="Wingdings" w:hAnsi="Wingdings" w:hint="default"/>
      </w:rPr>
    </w:lvl>
  </w:abstractNum>
  <w:abstractNum w:abstractNumId="3" w15:restartNumberingAfterBreak="0">
    <w:nsid w:val="106E3F9A"/>
    <w:multiLevelType w:val="hybridMultilevel"/>
    <w:tmpl w:val="79D20CD2"/>
    <w:lvl w:ilvl="0" w:tplc="2642F5D0">
      <w:start w:val="1"/>
      <w:numFmt w:val="decimal"/>
      <w:lvlText w:val="%1."/>
      <w:lvlJc w:val="left"/>
      <w:pPr>
        <w:ind w:left="720" w:hanging="360"/>
      </w:pPr>
    </w:lvl>
    <w:lvl w:ilvl="1" w:tplc="ED0457D8">
      <w:start w:val="1"/>
      <w:numFmt w:val="lowerLetter"/>
      <w:lvlText w:val="%2."/>
      <w:lvlJc w:val="left"/>
      <w:pPr>
        <w:ind w:left="1440" w:hanging="360"/>
      </w:pPr>
    </w:lvl>
    <w:lvl w:ilvl="2" w:tplc="95D82958">
      <w:start w:val="1"/>
      <w:numFmt w:val="lowerRoman"/>
      <w:lvlText w:val="%3."/>
      <w:lvlJc w:val="right"/>
      <w:pPr>
        <w:ind w:left="2160" w:hanging="180"/>
      </w:pPr>
    </w:lvl>
    <w:lvl w:ilvl="3" w:tplc="71B6F050">
      <w:start w:val="1"/>
      <w:numFmt w:val="decimal"/>
      <w:lvlText w:val="%4."/>
      <w:lvlJc w:val="left"/>
      <w:pPr>
        <w:ind w:left="2880" w:hanging="360"/>
      </w:pPr>
    </w:lvl>
    <w:lvl w:ilvl="4" w:tplc="EB023DB6">
      <w:start w:val="1"/>
      <w:numFmt w:val="lowerLetter"/>
      <w:lvlText w:val="%5."/>
      <w:lvlJc w:val="left"/>
      <w:pPr>
        <w:ind w:left="3600" w:hanging="360"/>
      </w:pPr>
    </w:lvl>
    <w:lvl w:ilvl="5" w:tplc="ED4C0416">
      <w:start w:val="1"/>
      <w:numFmt w:val="lowerRoman"/>
      <w:lvlText w:val="%6."/>
      <w:lvlJc w:val="right"/>
      <w:pPr>
        <w:ind w:left="4320" w:hanging="180"/>
      </w:pPr>
    </w:lvl>
    <w:lvl w:ilvl="6" w:tplc="2F960E9C">
      <w:start w:val="1"/>
      <w:numFmt w:val="decimal"/>
      <w:lvlText w:val="%7."/>
      <w:lvlJc w:val="left"/>
      <w:pPr>
        <w:ind w:left="5040" w:hanging="360"/>
      </w:pPr>
    </w:lvl>
    <w:lvl w:ilvl="7" w:tplc="EC1EDC10">
      <w:start w:val="1"/>
      <w:numFmt w:val="lowerLetter"/>
      <w:lvlText w:val="%8."/>
      <w:lvlJc w:val="left"/>
      <w:pPr>
        <w:ind w:left="5760" w:hanging="360"/>
      </w:pPr>
    </w:lvl>
    <w:lvl w:ilvl="8" w:tplc="0B0C314A">
      <w:start w:val="1"/>
      <w:numFmt w:val="lowerRoman"/>
      <w:lvlText w:val="%9."/>
      <w:lvlJc w:val="right"/>
      <w:pPr>
        <w:ind w:left="6480" w:hanging="180"/>
      </w:pPr>
    </w:lvl>
  </w:abstractNum>
  <w:abstractNum w:abstractNumId="4" w15:restartNumberingAfterBreak="0">
    <w:nsid w:val="13943CEF"/>
    <w:multiLevelType w:val="hybridMultilevel"/>
    <w:tmpl w:val="B8483C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BBEEAF6"/>
    <w:multiLevelType w:val="hybridMultilevel"/>
    <w:tmpl w:val="F2C8911E"/>
    <w:lvl w:ilvl="0" w:tplc="C30A12B4">
      <w:start w:val="1"/>
      <w:numFmt w:val="bullet"/>
      <w:lvlText w:val=""/>
      <w:lvlJc w:val="left"/>
      <w:pPr>
        <w:ind w:left="720" w:hanging="360"/>
      </w:pPr>
      <w:rPr>
        <w:rFonts w:ascii="Symbol" w:hAnsi="Symbol" w:hint="default"/>
      </w:rPr>
    </w:lvl>
    <w:lvl w:ilvl="1" w:tplc="E0B64E5C">
      <w:start w:val="1"/>
      <w:numFmt w:val="bullet"/>
      <w:lvlText w:val="o"/>
      <w:lvlJc w:val="left"/>
      <w:pPr>
        <w:ind w:left="1440" w:hanging="360"/>
      </w:pPr>
      <w:rPr>
        <w:rFonts w:ascii="Courier New" w:hAnsi="Courier New" w:hint="default"/>
      </w:rPr>
    </w:lvl>
    <w:lvl w:ilvl="2" w:tplc="92CAEA98">
      <w:start w:val="1"/>
      <w:numFmt w:val="bullet"/>
      <w:lvlText w:val=""/>
      <w:lvlJc w:val="left"/>
      <w:pPr>
        <w:ind w:left="2160" w:hanging="360"/>
      </w:pPr>
      <w:rPr>
        <w:rFonts w:ascii="Wingdings" w:hAnsi="Wingdings" w:hint="default"/>
      </w:rPr>
    </w:lvl>
    <w:lvl w:ilvl="3" w:tplc="5268BF1A">
      <w:start w:val="1"/>
      <w:numFmt w:val="bullet"/>
      <w:lvlText w:val=""/>
      <w:lvlJc w:val="left"/>
      <w:pPr>
        <w:ind w:left="2880" w:hanging="360"/>
      </w:pPr>
      <w:rPr>
        <w:rFonts w:ascii="Symbol" w:hAnsi="Symbol" w:hint="default"/>
      </w:rPr>
    </w:lvl>
    <w:lvl w:ilvl="4" w:tplc="EFC018E2">
      <w:start w:val="1"/>
      <w:numFmt w:val="bullet"/>
      <w:lvlText w:val="o"/>
      <w:lvlJc w:val="left"/>
      <w:pPr>
        <w:ind w:left="3600" w:hanging="360"/>
      </w:pPr>
      <w:rPr>
        <w:rFonts w:ascii="Courier New" w:hAnsi="Courier New" w:hint="default"/>
      </w:rPr>
    </w:lvl>
    <w:lvl w:ilvl="5" w:tplc="D7BABC76">
      <w:start w:val="1"/>
      <w:numFmt w:val="bullet"/>
      <w:lvlText w:val=""/>
      <w:lvlJc w:val="left"/>
      <w:pPr>
        <w:ind w:left="4320" w:hanging="360"/>
      </w:pPr>
      <w:rPr>
        <w:rFonts w:ascii="Wingdings" w:hAnsi="Wingdings" w:hint="default"/>
      </w:rPr>
    </w:lvl>
    <w:lvl w:ilvl="6" w:tplc="8748366A">
      <w:start w:val="1"/>
      <w:numFmt w:val="bullet"/>
      <w:lvlText w:val=""/>
      <w:lvlJc w:val="left"/>
      <w:pPr>
        <w:ind w:left="5040" w:hanging="360"/>
      </w:pPr>
      <w:rPr>
        <w:rFonts w:ascii="Symbol" w:hAnsi="Symbol" w:hint="default"/>
      </w:rPr>
    </w:lvl>
    <w:lvl w:ilvl="7" w:tplc="F77CF008">
      <w:start w:val="1"/>
      <w:numFmt w:val="bullet"/>
      <w:lvlText w:val="o"/>
      <w:lvlJc w:val="left"/>
      <w:pPr>
        <w:ind w:left="5760" w:hanging="360"/>
      </w:pPr>
      <w:rPr>
        <w:rFonts w:ascii="Courier New" w:hAnsi="Courier New" w:hint="default"/>
      </w:rPr>
    </w:lvl>
    <w:lvl w:ilvl="8" w:tplc="FDF2C6F2">
      <w:start w:val="1"/>
      <w:numFmt w:val="bullet"/>
      <w:lvlText w:val=""/>
      <w:lvlJc w:val="left"/>
      <w:pPr>
        <w:ind w:left="6480" w:hanging="360"/>
      </w:pPr>
      <w:rPr>
        <w:rFonts w:ascii="Wingdings" w:hAnsi="Wingdings" w:hint="default"/>
      </w:rPr>
    </w:lvl>
  </w:abstractNum>
  <w:abstractNum w:abstractNumId="6" w15:restartNumberingAfterBreak="0">
    <w:nsid w:val="1EEC749A"/>
    <w:multiLevelType w:val="hybridMultilevel"/>
    <w:tmpl w:val="302E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30DA1"/>
    <w:multiLevelType w:val="hybridMultilevel"/>
    <w:tmpl w:val="3692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35323"/>
    <w:multiLevelType w:val="hybridMultilevel"/>
    <w:tmpl w:val="99C21B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279CA"/>
    <w:multiLevelType w:val="hybridMultilevel"/>
    <w:tmpl w:val="0B9EFA9C"/>
    <w:lvl w:ilvl="0" w:tplc="F536CD52">
      <w:start w:val="3"/>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96B55"/>
    <w:multiLevelType w:val="hybridMultilevel"/>
    <w:tmpl w:val="24426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D7A76B"/>
    <w:multiLevelType w:val="hybridMultilevel"/>
    <w:tmpl w:val="2D906A70"/>
    <w:lvl w:ilvl="0" w:tplc="BD2A88D0">
      <w:start w:val="1"/>
      <w:numFmt w:val="bullet"/>
      <w:lvlText w:val=""/>
      <w:lvlJc w:val="left"/>
      <w:pPr>
        <w:ind w:left="720" w:hanging="360"/>
      </w:pPr>
      <w:rPr>
        <w:rFonts w:ascii="Symbol" w:hAnsi="Symbol" w:hint="default"/>
      </w:rPr>
    </w:lvl>
    <w:lvl w:ilvl="1" w:tplc="F952422C">
      <w:start w:val="1"/>
      <w:numFmt w:val="bullet"/>
      <w:lvlText w:val="o"/>
      <w:lvlJc w:val="left"/>
      <w:pPr>
        <w:ind w:left="1440" w:hanging="360"/>
      </w:pPr>
      <w:rPr>
        <w:rFonts w:ascii="Courier New" w:hAnsi="Courier New" w:hint="default"/>
      </w:rPr>
    </w:lvl>
    <w:lvl w:ilvl="2" w:tplc="FC167950">
      <w:start w:val="1"/>
      <w:numFmt w:val="bullet"/>
      <w:lvlText w:val=""/>
      <w:lvlJc w:val="left"/>
      <w:pPr>
        <w:ind w:left="2160" w:hanging="360"/>
      </w:pPr>
      <w:rPr>
        <w:rFonts w:ascii="Wingdings" w:hAnsi="Wingdings" w:hint="default"/>
      </w:rPr>
    </w:lvl>
    <w:lvl w:ilvl="3" w:tplc="730AC902">
      <w:start w:val="1"/>
      <w:numFmt w:val="bullet"/>
      <w:lvlText w:val=""/>
      <w:lvlJc w:val="left"/>
      <w:pPr>
        <w:ind w:left="2880" w:hanging="360"/>
      </w:pPr>
      <w:rPr>
        <w:rFonts w:ascii="Symbol" w:hAnsi="Symbol" w:hint="default"/>
      </w:rPr>
    </w:lvl>
    <w:lvl w:ilvl="4" w:tplc="F7AAD0DE">
      <w:start w:val="1"/>
      <w:numFmt w:val="bullet"/>
      <w:lvlText w:val="o"/>
      <w:lvlJc w:val="left"/>
      <w:pPr>
        <w:ind w:left="3600" w:hanging="360"/>
      </w:pPr>
      <w:rPr>
        <w:rFonts w:ascii="Courier New" w:hAnsi="Courier New" w:hint="default"/>
      </w:rPr>
    </w:lvl>
    <w:lvl w:ilvl="5" w:tplc="53426A30">
      <w:start w:val="1"/>
      <w:numFmt w:val="bullet"/>
      <w:lvlText w:val=""/>
      <w:lvlJc w:val="left"/>
      <w:pPr>
        <w:ind w:left="4320" w:hanging="360"/>
      </w:pPr>
      <w:rPr>
        <w:rFonts w:ascii="Wingdings" w:hAnsi="Wingdings" w:hint="default"/>
      </w:rPr>
    </w:lvl>
    <w:lvl w:ilvl="6" w:tplc="2132EE84">
      <w:start w:val="1"/>
      <w:numFmt w:val="bullet"/>
      <w:lvlText w:val=""/>
      <w:lvlJc w:val="left"/>
      <w:pPr>
        <w:ind w:left="5040" w:hanging="360"/>
      </w:pPr>
      <w:rPr>
        <w:rFonts w:ascii="Symbol" w:hAnsi="Symbol" w:hint="default"/>
      </w:rPr>
    </w:lvl>
    <w:lvl w:ilvl="7" w:tplc="C054FD48">
      <w:start w:val="1"/>
      <w:numFmt w:val="bullet"/>
      <w:lvlText w:val="o"/>
      <w:lvlJc w:val="left"/>
      <w:pPr>
        <w:ind w:left="5760" w:hanging="360"/>
      </w:pPr>
      <w:rPr>
        <w:rFonts w:ascii="Courier New" w:hAnsi="Courier New" w:hint="default"/>
      </w:rPr>
    </w:lvl>
    <w:lvl w:ilvl="8" w:tplc="6AA00878">
      <w:start w:val="1"/>
      <w:numFmt w:val="bullet"/>
      <w:lvlText w:val=""/>
      <w:lvlJc w:val="left"/>
      <w:pPr>
        <w:ind w:left="6480" w:hanging="360"/>
      </w:pPr>
      <w:rPr>
        <w:rFonts w:ascii="Wingdings" w:hAnsi="Wingdings" w:hint="default"/>
      </w:rPr>
    </w:lvl>
  </w:abstractNum>
  <w:abstractNum w:abstractNumId="12" w15:restartNumberingAfterBreak="0">
    <w:nsid w:val="295024D7"/>
    <w:multiLevelType w:val="hybridMultilevel"/>
    <w:tmpl w:val="ECAA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AA2C1"/>
    <w:multiLevelType w:val="hybridMultilevel"/>
    <w:tmpl w:val="1F14BDD0"/>
    <w:lvl w:ilvl="0" w:tplc="716013AC">
      <w:start w:val="1"/>
      <w:numFmt w:val="decimal"/>
      <w:lvlText w:val="%1."/>
      <w:lvlJc w:val="left"/>
      <w:pPr>
        <w:ind w:left="720" w:hanging="360"/>
      </w:pPr>
    </w:lvl>
    <w:lvl w:ilvl="1" w:tplc="125EDEB4">
      <w:start w:val="1"/>
      <w:numFmt w:val="lowerLetter"/>
      <w:lvlText w:val="%2."/>
      <w:lvlJc w:val="left"/>
      <w:pPr>
        <w:ind w:left="1440" w:hanging="360"/>
      </w:pPr>
    </w:lvl>
    <w:lvl w:ilvl="2" w:tplc="251AA32E">
      <w:start w:val="1"/>
      <w:numFmt w:val="lowerRoman"/>
      <w:lvlText w:val="%3."/>
      <w:lvlJc w:val="right"/>
      <w:pPr>
        <w:ind w:left="2160" w:hanging="180"/>
      </w:pPr>
    </w:lvl>
    <w:lvl w:ilvl="3" w:tplc="92044990">
      <w:start w:val="1"/>
      <w:numFmt w:val="decimal"/>
      <w:lvlText w:val="%4."/>
      <w:lvlJc w:val="left"/>
      <w:pPr>
        <w:ind w:left="2880" w:hanging="360"/>
      </w:pPr>
    </w:lvl>
    <w:lvl w:ilvl="4" w:tplc="9B40942C">
      <w:start w:val="1"/>
      <w:numFmt w:val="lowerLetter"/>
      <w:lvlText w:val="%5."/>
      <w:lvlJc w:val="left"/>
      <w:pPr>
        <w:ind w:left="3600" w:hanging="360"/>
      </w:pPr>
    </w:lvl>
    <w:lvl w:ilvl="5" w:tplc="0972AA6A">
      <w:start w:val="1"/>
      <w:numFmt w:val="lowerRoman"/>
      <w:lvlText w:val="%6."/>
      <w:lvlJc w:val="right"/>
      <w:pPr>
        <w:ind w:left="4320" w:hanging="180"/>
      </w:pPr>
    </w:lvl>
    <w:lvl w:ilvl="6" w:tplc="1F9017F2">
      <w:start w:val="1"/>
      <w:numFmt w:val="decimal"/>
      <w:lvlText w:val="%7."/>
      <w:lvlJc w:val="left"/>
      <w:pPr>
        <w:ind w:left="5040" w:hanging="360"/>
      </w:pPr>
    </w:lvl>
    <w:lvl w:ilvl="7" w:tplc="DDEE8B08">
      <w:start w:val="1"/>
      <w:numFmt w:val="lowerLetter"/>
      <w:lvlText w:val="%8."/>
      <w:lvlJc w:val="left"/>
      <w:pPr>
        <w:ind w:left="5760" w:hanging="360"/>
      </w:pPr>
    </w:lvl>
    <w:lvl w:ilvl="8" w:tplc="42E22550">
      <w:start w:val="1"/>
      <w:numFmt w:val="lowerRoman"/>
      <w:lvlText w:val="%9."/>
      <w:lvlJc w:val="right"/>
      <w:pPr>
        <w:ind w:left="6480" w:hanging="180"/>
      </w:pPr>
    </w:lvl>
  </w:abstractNum>
  <w:abstractNum w:abstractNumId="14" w15:restartNumberingAfterBreak="0">
    <w:nsid w:val="35751A94"/>
    <w:multiLevelType w:val="hybridMultilevel"/>
    <w:tmpl w:val="801E9A08"/>
    <w:lvl w:ilvl="0" w:tplc="F536CD52">
      <w:start w:val="3"/>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17581E"/>
    <w:multiLevelType w:val="hybridMultilevel"/>
    <w:tmpl w:val="724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21F4F"/>
    <w:multiLevelType w:val="hybridMultilevel"/>
    <w:tmpl w:val="8206B4A6"/>
    <w:lvl w:ilvl="0" w:tplc="CB9A71AC">
      <w:start w:val="1"/>
      <w:numFmt w:val="bullet"/>
      <w:lvlText w:val=""/>
      <w:lvlJc w:val="left"/>
      <w:pPr>
        <w:ind w:left="720" w:hanging="360"/>
      </w:pPr>
      <w:rPr>
        <w:rFonts w:ascii="Symbol" w:hAnsi="Symbol" w:hint="default"/>
      </w:rPr>
    </w:lvl>
    <w:lvl w:ilvl="1" w:tplc="55867884">
      <w:start w:val="1"/>
      <w:numFmt w:val="bullet"/>
      <w:lvlText w:val="o"/>
      <w:lvlJc w:val="left"/>
      <w:pPr>
        <w:ind w:left="1440" w:hanging="360"/>
      </w:pPr>
      <w:rPr>
        <w:rFonts w:ascii="Courier New" w:hAnsi="Courier New" w:hint="default"/>
      </w:rPr>
    </w:lvl>
    <w:lvl w:ilvl="2" w:tplc="DFDCABE2">
      <w:start w:val="1"/>
      <w:numFmt w:val="bullet"/>
      <w:lvlText w:val=""/>
      <w:lvlJc w:val="left"/>
      <w:pPr>
        <w:ind w:left="2160" w:hanging="360"/>
      </w:pPr>
      <w:rPr>
        <w:rFonts w:ascii="Wingdings" w:hAnsi="Wingdings" w:hint="default"/>
      </w:rPr>
    </w:lvl>
    <w:lvl w:ilvl="3" w:tplc="760AF248">
      <w:start w:val="1"/>
      <w:numFmt w:val="bullet"/>
      <w:lvlText w:val=""/>
      <w:lvlJc w:val="left"/>
      <w:pPr>
        <w:ind w:left="2880" w:hanging="360"/>
      </w:pPr>
      <w:rPr>
        <w:rFonts w:ascii="Symbol" w:hAnsi="Symbol" w:hint="default"/>
      </w:rPr>
    </w:lvl>
    <w:lvl w:ilvl="4" w:tplc="64B25C38">
      <w:start w:val="1"/>
      <w:numFmt w:val="bullet"/>
      <w:lvlText w:val="o"/>
      <w:lvlJc w:val="left"/>
      <w:pPr>
        <w:ind w:left="3600" w:hanging="360"/>
      </w:pPr>
      <w:rPr>
        <w:rFonts w:ascii="Courier New" w:hAnsi="Courier New" w:hint="default"/>
      </w:rPr>
    </w:lvl>
    <w:lvl w:ilvl="5" w:tplc="3DD47FD2">
      <w:start w:val="1"/>
      <w:numFmt w:val="bullet"/>
      <w:lvlText w:val=""/>
      <w:lvlJc w:val="left"/>
      <w:pPr>
        <w:ind w:left="4320" w:hanging="360"/>
      </w:pPr>
      <w:rPr>
        <w:rFonts w:ascii="Wingdings" w:hAnsi="Wingdings" w:hint="default"/>
      </w:rPr>
    </w:lvl>
    <w:lvl w:ilvl="6" w:tplc="1226925C">
      <w:start w:val="1"/>
      <w:numFmt w:val="bullet"/>
      <w:lvlText w:val=""/>
      <w:lvlJc w:val="left"/>
      <w:pPr>
        <w:ind w:left="5040" w:hanging="360"/>
      </w:pPr>
      <w:rPr>
        <w:rFonts w:ascii="Symbol" w:hAnsi="Symbol" w:hint="default"/>
      </w:rPr>
    </w:lvl>
    <w:lvl w:ilvl="7" w:tplc="41BACAC0">
      <w:start w:val="1"/>
      <w:numFmt w:val="bullet"/>
      <w:lvlText w:val="o"/>
      <w:lvlJc w:val="left"/>
      <w:pPr>
        <w:ind w:left="5760" w:hanging="360"/>
      </w:pPr>
      <w:rPr>
        <w:rFonts w:ascii="Courier New" w:hAnsi="Courier New" w:hint="default"/>
      </w:rPr>
    </w:lvl>
    <w:lvl w:ilvl="8" w:tplc="DB563050">
      <w:start w:val="1"/>
      <w:numFmt w:val="bullet"/>
      <w:lvlText w:val=""/>
      <w:lvlJc w:val="left"/>
      <w:pPr>
        <w:ind w:left="6480" w:hanging="360"/>
      </w:pPr>
      <w:rPr>
        <w:rFonts w:ascii="Wingdings" w:hAnsi="Wingdings" w:hint="default"/>
      </w:rPr>
    </w:lvl>
  </w:abstractNum>
  <w:abstractNum w:abstractNumId="17" w15:restartNumberingAfterBreak="0">
    <w:nsid w:val="4B705B2B"/>
    <w:multiLevelType w:val="hybridMultilevel"/>
    <w:tmpl w:val="64AC707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5DAE6831"/>
    <w:multiLevelType w:val="hybridMultilevel"/>
    <w:tmpl w:val="5F5A5A8C"/>
    <w:lvl w:ilvl="0" w:tplc="45041FDA">
      <w:start w:val="1"/>
      <w:numFmt w:val="bullet"/>
      <w:lvlText w:val="-"/>
      <w:lvlJc w:val="left"/>
      <w:pPr>
        <w:ind w:left="720" w:hanging="360"/>
      </w:pPr>
      <w:rPr>
        <w:rFonts w:ascii="Calibri" w:hAnsi="Calibri" w:hint="default"/>
      </w:rPr>
    </w:lvl>
    <w:lvl w:ilvl="1" w:tplc="3EE646DC">
      <w:start w:val="1"/>
      <w:numFmt w:val="bullet"/>
      <w:lvlText w:val="o"/>
      <w:lvlJc w:val="left"/>
      <w:pPr>
        <w:ind w:left="1440" w:hanging="360"/>
      </w:pPr>
      <w:rPr>
        <w:rFonts w:ascii="Courier New" w:hAnsi="Courier New" w:hint="default"/>
      </w:rPr>
    </w:lvl>
    <w:lvl w:ilvl="2" w:tplc="EBF0F170">
      <w:start w:val="1"/>
      <w:numFmt w:val="bullet"/>
      <w:lvlText w:val=""/>
      <w:lvlJc w:val="left"/>
      <w:pPr>
        <w:ind w:left="2160" w:hanging="360"/>
      </w:pPr>
      <w:rPr>
        <w:rFonts w:ascii="Wingdings" w:hAnsi="Wingdings" w:hint="default"/>
      </w:rPr>
    </w:lvl>
    <w:lvl w:ilvl="3" w:tplc="12861796">
      <w:start w:val="1"/>
      <w:numFmt w:val="bullet"/>
      <w:lvlText w:val=""/>
      <w:lvlJc w:val="left"/>
      <w:pPr>
        <w:ind w:left="2880" w:hanging="360"/>
      </w:pPr>
      <w:rPr>
        <w:rFonts w:ascii="Symbol" w:hAnsi="Symbol" w:hint="default"/>
      </w:rPr>
    </w:lvl>
    <w:lvl w:ilvl="4" w:tplc="4C6C47CC">
      <w:start w:val="1"/>
      <w:numFmt w:val="bullet"/>
      <w:lvlText w:val="o"/>
      <w:lvlJc w:val="left"/>
      <w:pPr>
        <w:ind w:left="3600" w:hanging="360"/>
      </w:pPr>
      <w:rPr>
        <w:rFonts w:ascii="Courier New" w:hAnsi="Courier New" w:hint="default"/>
      </w:rPr>
    </w:lvl>
    <w:lvl w:ilvl="5" w:tplc="E71A779C">
      <w:start w:val="1"/>
      <w:numFmt w:val="bullet"/>
      <w:lvlText w:val=""/>
      <w:lvlJc w:val="left"/>
      <w:pPr>
        <w:ind w:left="4320" w:hanging="360"/>
      </w:pPr>
      <w:rPr>
        <w:rFonts w:ascii="Wingdings" w:hAnsi="Wingdings" w:hint="default"/>
      </w:rPr>
    </w:lvl>
    <w:lvl w:ilvl="6" w:tplc="418620F0">
      <w:start w:val="1"/>
      <w:numFmt w:val="bullet"/>
      <w:lvlText w:val=""/>
      <w:lvlJc w:val="left"/>
      <w:pPr>
        <w:ind w:left="5040" w:hanging="360"/>
      </w:pPr>
      <w:rPr>
        <w:rFonts w:ascii="Symbol" w:hAnsi="Symbol" w:hint="default"/>
      </w:rPr>
    </w:lvl>
    <w:lvl w:ilvl="7" w:tplc="EF0A166A">
      <w:start w:val="1"/>
      <w:numFmt w:val="bullet"/>
      <w:lvlText w:val="o"/>
      <w:lvlJc w:val="left"/>
      <w:pPr>
        <w:ind w:left="5760" w:hanging="360"/>
      </w:pPr>
      <w:rPr>
        <w:rFonts w:ascii="Courier New" w:hAnsi="Courier New" w:hint="default"/>
      </w:rPr>
    </w:lvl>
    <w:lvl w:ilvl="8" w:tplc="46A0D678">
      <w:start w:val="1"/>
      <w:numFmt w:val="bullet"/>
      <w:lvlText w:val=""/>
      <w:lvlJc w:val="left"/>
      <w:pPr>
        <w:ind w:left="6480" w:hanging="360"/>
      </w:pPr>
      <w:rPr>
        <w:rFonts w:ascii="Wingdings" w:hAnsi="Wingdings" w:hint="default"/>
      </w:rPr>
    </w:lvl>
  </w:abstractNum>
  <w:abstractNum w:abstractNumId="19" w15:restartNumberingAfterBreak="0">
    <w:nsid w:val="5F43652C"/>
    <w:multiLevelType w:val="hybridMultilevel"/>
    <w:tmpl w:val="E9F2A4E4"/>
    <w:lvl w:ilvl="0" w:tplc="89FE67C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08DE1CC"/>
    <w:multiLevelType w:val="hybridMultilevel"/>
    <w:tmpl w:val="89E6C48E"/>
    <w:lvl w:ilvl="0" w:tplc="12E89CB2">
      <w:start w:val="1"/>
      <w:numFmt w:val="decimal"/>
      <w:lvlText w:val="%1."/>
      <w:lvlJc w:val="left"/>
      <w:pPr>
        <w:ind w:left="360" w:hanging="360"/>
      </w:pPr>
    </w:lvl>
    <w:lvl w:ilvl="1" w:tplc="D43451F6">
      <w:start w:val="1"/>
      <w:numFmt w:val="lowerLetter"/>
      <w:lvlText w:val="%2."/>
      <w:lvlJc w:val="left"/>
      <w:pPr>
        <w:ind w:left="1080" w:hanging="360"/>
      </w:pPr>
    </w:lvl>
    <w:lvl w:ilvl="2" w:tplc="D59E9FE6">
      <w:start w:val="1"/>
      <w:numFmt w:val="lowerRoman"/>
      <w:lvlText w:val="%3."/>
      <w:lvlJc w:val="right"/>
      <w:pPr>
        <w:ind w:left="1800" w:hanging="180"/>
      </w:pPr>
    </w:lvl>
    <w:lvl w:ilvl="3" w:tplc="E83CDC16">
      <w:start w:val="1"/>
      <w:numFmt w:val="decimal"/>
      <w:lvlText w:val="%4."/>
      <w:lvlJc w:val="left"/>
      <w:pPr>
        <w:ind w:left="2520" w:hanging="360"/>
      </w:pPr>
    </w:lvl>
    <w:lvl w:ilvl="4" w:tplc="E9F61822">
      <w:start w:val="1"/>
      <w:numFmt w:val="lowerLetter"/>
      <w:lvlText w:val="%5."/>
      <w:lvlJc w:val="left"/>
      <w:pPr>
        <w:ind w:left="3240" w:hanging="360"/>
      </w:pPr>
    </w:lvl>
    <w:lvl w:ilvl="5" w:tplc="443C2DC2">
      <w:start w:val="1"/>
      <w:numFmt w:val="lowerRoman"/>
      <w:lvlText w:val="%6."/>
      <w:lvlJc w:val="right"/>
      <w:pPr>
        <w:ind w:left="3960" w:hanging="180"/>
      </w:pPr>
    </w:lvl>
    <w:lvl w:ilvl="6" w:tplc="E4567E04">
      <w:start w:val="1"/>
      <w:numFmt w:val="decimal"/>
      <w:lvlText w:val="%7."/>
      <w:lvlJc w:val="left"/>
      <w:pPr>
        <w:ind w:left="4680" w:hanging="360"/>
      </w:pPr>
    </w:lvl>
    <w:lvl w:ilvl="7" w:tplc="06F8B11E">
      <w:start w:val="1"/>
      <w:numFmt w:val="lowerLetter"/>
      <w:lvlText w:val="%8."/>
      <w:lvlJc w:val="left"/>
      <w:pPr>
        <w:ind w:left="5400" w:hanging="360"/>
      </w:pPr>
    </w:lvl>
    <w:lvl w:ilvl="8" w:tplc="52CCC988">
      <w:start w:val="1"/>
      <w:numFmt w:val="lowerRoman"/>
      <w:lvlText w:val="%9."/>
      <w:lvlJc w:val="right"/>
      <w:pPr>
        <w:ind w:left="6120" w:hanging="180"/>
      </w:pPr>
    </w:lvl>
  </w:abstractNum>
  <w:abstractNum w:abstractNumId="21" w15:restartNumberingAfterBreak="0">
    <w:nsid w:val="63280212"/>
    <w:multiLevelType w:val="hybridMultilevel"/>
    <w:tmpl w:val="7AD6E17C"/>
    <w:lvl w:ilvl="0" w:tplc="1416E002">
      <w:start w:val="1"/>
      <w:numFmt w:val="bullet"/>
      <w:lvlText w:val=""/>
      <w:lvlJc w:val="left"/>
      <w:pPr>
        <w:ind w:left="720" w:hanging="360"/>
      </w:pPr>
      <w:rPr>
        <w:rFonts w:ascii="Symbol" w:hAnsi="Symbol" w:hint="default"/>
      </w:rPr>
    </w:lvl>
    <w:lvl w:ilvl="1" w:tplc="26169AC2">
      <w:start w:val="1"/>
      <w:numFmt w:val="bullet"/>
      <w:lvlText w:val="o"/>
      <w:lvlJc w:val="left"/>
      <w:pPr>
        <w:ind w:left="1440" w:hanging="360"/>
      </w:pPr>
      <w:rPr>
        <w:rFonts w:ascii="Courier New" w:hAnsi="Courier New" w:hint="default"/>
      </w:rPr>
    </w:lvl>
    <w:lvl w:ilvl="2" w:tplc="AAF881E0">
      <w:start w:val="1"/>
      <w:numFmt w:val="bullet"/>
      <w:lvlText w:val=""/>
      <w:lvlJc w:val="left"/>
      <w:pPr>
        <w:ind w:left="2160" w:hanging="360"/>
      </w:pPr>
      <w:rPr>
        <w:rFonts w:ascii="Wingdings" w:hAnsi="Wingdings" w:hint="default"/>
      </w:rPr>
    </w:lvl>
    <w:lvl w:ilvl="3" w:tplc="112C06D4">
      <w:start w:val="1"/>
      <w:numFmt w:val="bullet"/>
      <w:lvlText w:val=""/>
      <w:lvlJc w:val="left"/>
      <w:pPr>
        <w:ind w:left="2880" w:hanging="360"/>
      </w:pPr>
      <w:rPr>
        <w:rFonts w:ascii="Symbol" w:hAnsi="Symbol" w:hint="default"/>
      </w:rPr>
    </w:lvl>
    <w:lvl w:ilvl="4" w:tplc="4BB4A16A">
      <w:start w:val="1"/>
      <w:numFmt w:val="bullet"/>
      <w:lvlText w:val="o"/>
      <w:lvlJc w:val="left"/>
      <w:pPr>
        <w:ind w:left="3600" w:hanging="360"/>
      </w:pPr>
      <w:rPr>
        <w:rFonts w:ascii="Courier New" w:hAnsi="Courier New" w:hint="default"/>
      </w:rPr>
    </w:lvl>
    <w:lvl w:ilvl="5" w:tplc="EAD6B5DC">
      <w:start w:val="1"/>
      <w:numFmt w:val="bullet"/>
      <w:lvlText w:val=""/>
      <w:lvlJc w:val="left"/>
      <w:pPr>
        <w:ind w:left="4320" w:hanging="360"/>
      </w:pPr>
      <w:rPr>
        <w:rFonts w:ascii="Wingdings" w:hAnsi="Wingdings" w:hint="default"/>
      </w:rPr>
    </w:lvl>
    <w:lvl w:ilvl="6" w:tplc="6F86CCAA">
      <w:start w:val="1"/>
      <w:numFmt w:val="bullet"/>
      <w:lvlText w:val=""/>
      <w:lvlJc w:val="left"/>
      <w:pPr>
        <w:ind w:left="5040" w:hanging="360"/>
      </w:pPr>
      <w:rPr>
        <w:rFonts w:ascii="Symbol" w:hAnsi="Symbol" w:hint="default"/>
      </w:rPr>
    </w:lvl>
    <w:lvl w:ilvl="7" w:tplc="3646A972">
      <w:start w:val="1"/>
      <w:numFmt w:val="bullet"/>
      <w:lvlText w:val="o"/>
      <w:lvlJc w:val="left"/>
      <w:pPr>
        <w:ind w:left="5760" w:hanging="360"/>
      </w:pPr>
      <w:rPr>
        <w:rFonts w:ascii="Courier New" w:hAnsi="Courier New" w:hint="default"/>
      </w:rPr>
    </w:lvl>
    <w:lvl w:ilvl="8" w:tplc="2B7C97E4">
      <w:start w:val="1"/>
      <w:numFmt w:val="bullet"/>
      <w:lvlText w:val=""/>
      <w:lvlJc w:val="left"/>
      <w:pPr>
        <w:ind w:left="6480" w:hanging="360"/>
      </w:pPr>
      <w:rPr>
        <w:rFonts w:ascii="Wingdings" w:hAnsi="Wingdings" w:hint="default"/>
      </w:rPr>
    </w:lvl>
  </w:abstractNum>
  <w:abstractNum w:abstractNumId="22" w15:restartNumberingAfterBreak="0">
    <w:nsid w:val="65D57A6C"/>
    <w:multiLevelType w:val="hybridMultilevel"/>
    <w:tmpl w:val="BAB2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B6593"/>
    <w:multiLevelType w:val="hybridMultilevel"/>
    <w:tmpl w:val="305814B6"/>
    <w:lvl w:ilvl="0" w:tplc="ED14BD76">
      <w:start w:val="1"/>
      <w:numFmt w:val="decimal"/>
      <w:lvlText w:val="%1."/>
      <w:lvlJc w:val="left"/>
      <w:pPr>
        <w:ind w:left="36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705C9F"/>
    <w:multiLevelType w:val="hybridMultilevel"/>
    <w:tmpl w:val="C2048828"/>
    <w:lvl w:ilvl="0" w:tplc="FA064D22">
      <w:start w:val="1"/>
      <w:numFmt w:val="lowerLetter"/>
      <w:lvlText w:val="%1."/>
      <w:lvlJc w:val="left"/>
      <w:pPr>
        <w:ind w:left="720" w:hanging="360"/>
      </w:pPr>
    </w:lvl>
    <w:lvl w:ilvl="1" w:tplc="A20E80AE">
      <w:start w:val="1"/>
      <w:numFmt w:val="lowerLetter"/>
      <w:lvlText w:val="%2."/>
      <w:lvlJc w:val="left"/>
      <w:pPr>
        <w:ind w:left="1440" w:hanging="360"/>
      </w:pPr>
    </w:lvl>
    <w:lvl w:ilvl="2" w:tplc="2B468186">
      <w:start w:val="1"/>
      <w:numFmt w:val="lowerRoman"/>
      <w:lvlText w:val="%3."/>
      <w:lvlJc w:val="right"/>
      <w:pPr>
        <w:ind w:left="2160" w:hanging="180"/>
      </w:pPr>
    </w:lvl>
    <w:lvl w:ilvl="3" w:tplc="785CFC44">
      <w:start w:val="1"/>
      <w:numFmt w:val="decimal"/>
      <w:lvlText w:val="%4."/>
      <w:lvlJc w:val="left"/>
      <w:pPr>
        <w:ind w:left="2880" w:hanging="360"/>
      </w:pPr>
    </w:lvl>
    <w:lvl w:ilvl="4" w:tplc="86EEC3F6">
      <w:start w:val="1"/>
      <w:numFmt w:val="lowerLetter"/>
      <w:lvlText w:val="%5."/>
      <w:lvlJc w:val="left"/>
      <w:pPr>
        <w:ind w:left="3600" w:hanging="360"/>
      </w:pPr>
    </w:lvl>
    <w:lvl w:ilvl="5" w:tplc="27206BA8">
      <w:start w:val="1"/>
      <w:numFmt w:val="lowerRoman"/>
      <w:lvlText w:val="%6."/>
      <w:lvlJc w:val="right"/>
      <w:pPr>
        <w:ind w:left="4320" w:hanging="180"/>
      </w:pPr>
    </w:lvl>
    <w:lvl w:ilvl="6" w:tplc="8A984C9E">
      <w:start w:val="1"/>
      <w:numFmt w:val="decimal"/>
      <w:lvlText w:val="%7."/>
      <w:lvlJc w:val="left"/>
      <w:pPr>
        <w:ind w:left="5040" w:hanging="360"/>
      </w:pPr>
    </w:lvl>
    <w:lvl w:ilvl="7" w:tplc="D4D22EDE">
      <w:start w:val="1"/>
      <w:numFmt w:val="lowerLetter"/>
      <w:lvlText w:val="%8."/>
      <w:lvlJc w:val="left"/>
      <w:pPr>
        <w:ind w:left="5760" w:hanging="360"/>
      </w:pPr>
    </w:lvl>
    <w:lvl w:ilvl="8" w:tplc="8494C69E">
      <w:start w:val="1"/>
      <w:numFmt w:val="lowerRoman"/>
      <w:lvlText w:val="%9."/>
      <w:lvlJc w:val="right"/>
      <w:pPr>
        <w:ind w:left="6480" w:hanging="180"/>
      </w:pPr>
    </w:lvl>
  </w:abstractNum>
  <w:abstractNum w:abstractNumId="25" w15:restartNumberingAfterBreak="0">
    <w:nsid w:val="6E701C34"/>
    <w:multiLevelType w:val="hybridMultilevel"/>
    <w:tmpl w:val="73B2D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21890D"/>
    <w:multiLevelType w:val="hybridMultilevel"/>
    <w:tmpl w:val="C0A4CF56"/>
    <w:lvl w:ilvl="0" w:tplc="AC223C48">
      <w:start w:val="1"/>
      <w:numFmt w:val="decimal"/>
      <w:lvlText w:val="%1."/>
      <w:lvlJc w:val="left"/>
      <w:pPr>
        <w:ind w:left="720" w:hanging="360"/>
      </w:pPr>
    </w:lvl>
    <w:lvl w:ilvl="1" w:tplc="DF542A4C">
      <w:start w:val="1"/>
      <w:numFmt w:val="lowerLetter"/>
      <w:lvlText w:val="%2."/>
      <w:lvlJc w:val="left"/>
      <w:pPr>
        <w:ind w:left="1440" w:hanging="360"/>
      </w:pPr>
    </w:lvl>
    <w:lvl w:ilvl="2" w:tplc="189424CA">
      <w:start w:val="1"/>
      <w:numFmt w:val="lowerRoman"/>
      <w:lvlText w:val="%3."/>
      <w:lvlJc w:val="right"/>
      <w:pPr>
        <w:ind w:left="2160" w:hanging="180"/>
      </w:pPr>
    </w:lvl>
    <w:lvl w:ilvl="3" w:tplc="9D7E6102">
      <w:start w:val="1"/>
      <w:numFmt w:val="decimal"/>
      <w:lvlText w:val="%4."/>
      <w:lvlJc w:val="left"/>
      <w:pPr>
        <w:ind w:left="2880" w:hanging="360"/>
      </w:pPr>
    </w:lvl>
    <w:lvl w:ilvl="4" w:tplc="1CB21E5A">
      <w:start w:val="1"/>
      <w:numFmt w:val="lowerLetter"/>
      <w:lvlText w:val="%5."/>
      <w:lvlJc w:val="left"/>
      <w:pPr>
        <w:ind w:left="3600" w:hanging="360"/>
      </w:pPr>
    </w:lvl>
    <w:lvl w:ilvl="5" w:tplc="DA740F4C">
      <w:start w:val="1"/>
      <w:numFmt w:val="lowerRoman"/>
      <w:lvlText w:val="%6."/>
      <w:lvlJc w:val="right"/>
      <w:pPr>
        <w:ind w:left="4320" w:hanging="180"/>
      </w:pPr>
    </w:lvl>
    <w:lvl w:ilvl="6" w:tplc="5CDCC8FC">
      <w:start w:val="1"/>
      <w:numFmt w:val="decimal"/>
      <w:lvlText w:val="%7."/>
      <w:lvlJc w:val="left"/>
      <w:pPr>
        <w:ind w:left="5040" w:hanging="360"/>
      </w:pPr>
    </w:lvl>
    <w:lvl w:ilvl="7" w:tplc="1A209F70">
      <w:start w:val="1"/>
      <w:numFmt w:val="lowerLetter"/>
      <w:lvlText w:val="%8."/>
      <w:lvlJc w:val="left"/>
      <w:pPr>
        <w:ind w:left="5760" w:hanging="360"/>
      </w:pPr>
    </w:lvl>
    <w:lvl w:ilvl="8" w:tplc="FF981F2E">
      <w:start w:val="1"/>
      <w:numFmt w:val="lowerRoman"/>
      <w:lvlText w:val="%9."/>
      <w:lvlJc w:val="right"/>
      <w:pPr>
        <w:ind w:left="6480" w:hanging="180"/>
      </w:pPr>
    </w:lvl>
  </w:abstractNum>
  <w:abstractNum w:abstractNumId="27" w15:restartNumberingAfterBreak="0">
    <w:nsid w:val="73E8851F"/>
    <w:multiLevelType w:val="hybridMultilevel"/>
    <w:tmpl w:val="29E454F0"/>
    <w:lvl w:ilvl="0" w:tplc="FD8CAA98">
      <w:start w:val="1"/>
      <w:numFmt w:val="bullet"/>
      <w:lvlText w:val=""/>
      <w:lvlJc w:val="left"/>
      <w:pPr>
        <w:ind w:left="720" w:hanging="360"/>
      </w:pPr>
      <w:rPr>
        <w:rFonts w:ascii="Symbol" w:hAnsi="Symbol" w:hint="default"/>
      </w:rPr>
    </w:lvl>
    <w:lvl w:ilvl="1" w:tplc="F2A2D8A8">
      <w:start w:val="1"/>
      <w:numFmt w:val="bullet"/>
      <w:lvlText w:val="o"/>
      <w:lvlJc w:val="left"/>
      <w:pPr>
        <w:ind w:left="1440" w:hanging="360"/>
      </w:pPr>
      <w:rPr>
        <w:rFonts w:ascii="Courier New" w:hAnsi="Courier New" w:hint="default"/>
      </w:rPr>
    </w:lvl>
    <w:lvl w:ilvl="2" w:tplc="388EFC1E">
      <w:start w:val="1"/>
      <w:numFmt w:val="bullet"/>
      <w:lvlText w:val=""/>
      <w:lvlJc w:val="left"/>
      <w:pPr>
        <w:ind w:left="2160" w:hanging="360"/>
      </w:pPr>
      <w:rPr>
        <w:rFonts w:ascii="Wingdings" w:hAnsi="Wingdings" w:hint="default"/>
      </w:rPr>
    </w:lvl>
    <w:lvl w:ilvl="3" w:tplc="A478FBB8">
      <w:start w:val="1"/>
      <w:numFmt w:val="bullet"/>
      <w:lvlText w:val=""/>
      <w:lvlJc w:val="left"/>
      <w:pPr>
        <w:ind w:left="2880" w:hanging="360"/>
      </w:pPr>
      <w:rPr>
        <w:rFonts w:ascii="Symbol" w:hAnsi="Symbol" w:hint="default"/>
      </w:rPr>
    </w:lvl>
    <w:lvl w:ilvl="4" w:tplc="503A1380">
      <w:start w:val="1"/>
      <w:numFmt w:val="bullet"/>
      <w:lvlText w:val="o"/>
      <w:lvlJc w:val="left"/>
      <w:pPr>
        <w:ind w:left="3600" w:hanging="360"/>
      </w:pPr>
      <w:rPr>
        <w:rFonts w:ascii="Courier New" w:hAnsi="Courier New" w:hint="default"/>
      </w:rPr>
    </w:lvl>
    <w:lvl w:ilvl="5" w:tplc="8D1E4886">
      <w:start w:val="1"/>
      <w:numFmt w:val="bullet"/>
      <w:lvlText w:val=""/>
      <w:lvlJc w:val="left"/>
      <w:pPr>
        <w:ind w:left="4320" w:hanging="360"/>
      </w:pPr>
      <w:rPr>
        <w:rFonts w:ascii="Wingdings" w:hAnsi="Wingdings" w:hint="default"/>
      </w:rPr>
    </w:lvl>
    <w:lvl w:ilvl="6" w:tplc="99803D6C">
      <w:start w:val="1"/>
      <w:numFmt w:val="bullet"/>
      <w:lvlText w:val=""/>
      <w:lvlJc w:val="left"/>
      <w:pPr>
        <w:ind w:left="5040" w:hanging="360"/>
      </w:pPr>
      <w:rPr>
        <w:rFonts w:ascii="Symbol" w:hAnsi="Symbol" w:hint="default"/>
      </w:rPr>
    </w:lvl>
    <w:lvl w:ilvl="7" w:tplc="D5A00F54">
      <w:start w:val="1"/>
      <w:numFmt w:val="bullet"/>
      <w:lvlText w:val="o"/>
      <w:lvlJc w:val="left"/>
      <w:pPr>
        <w:ind w:left="5760" w:hanging="360"/>
      </w:pPr>
      <w:rPr>
        <w:rFonts w:ascii="Courier New" w:hAnsi="Courier New" w:hint="default"/>
      </w:rPr>
    </w:lvl>
    <w:lvl w:ilvl="8" w:tplc="74D8FBB8">
      <w:start w:val="1"/>
      <w:numFmt w:val="bullet"/>
      <w:lvlText w:val=""/>
      <w:lvlJc w:val="left"/>
      <w:pPr>
        <w:ind w:left="6480" w:hanging="360"/>
      </w:pPr>
      <w:rPr>
        <w:rFonts w:ascii="Wingdings" w:hAnsi="Wingdings" w:hint="default"/>
      </w:rPr>
    </w:lvl>
  </w:abstractNum>
  <w:num w:numId="1" w16cid:durableId="1408845743">
    <w:abstractNumId w:val="11"/>
  </w:num>
  <w:num w:numId="2" w16cid:durableId="301546450">
    <w:abstractNumId w:val="3"/>
  </w:num>
  <w:num w:numId="3" w16cid:durableId="2105495905">
    <w:abstractNumId w:val="13"/>
  </w:num>
  <w:num w:numId="4" w16cid:durableId="1879001315">
    <w:abstractNumId w:val="20"/>
  </w:num>
  <w:num w:numId="5" w16cid:durableId="499076873">
    <w:abstractNumId w:val="5"/>
  </w:num>
  <w:num w:numId="6" w16cid:durableId="1316297599">
    <w:abstractNumId w:val="16"/>
  </w:num>
  <w:num w:numId="7" w16cid:durableId="1126241292">
    <w:abstractNumId w:val="24"/>
  </w:num>
  <w:num w:numId="8" w16cid:durableId="328291492">
    <w:abstractNumId w:val="21"/>
  </w:num>
  <w:num w:numId="9" w16cid:durableId="274017922">
    <w:abstractNumId w:val="18"/>
  </w:num>
  <w:num w:numId="10" w16cid:durableId="751388314">
    <w:abstractNumId w:val="26"/>
  </w:num>
  <w:num w:numId="11" w16cid:durableId="1477070077">
    <w:abstractNumId w:val="2"/>
  </w:num>
  <w:num w:numId="12" w16cid:durableId="897788765">
    <w:abstractNumId w:val="27"/>
  </w:num>
  <w:num w:numId="13" w16cid:durableId="382800374">
    <w:abstractNumId w:val="15"/>
  </w:num>
  <w:num w:numId="14" w16cid:durableId="2122409932">
    <w:abstractNumId w:val="17"/>
  </w:num>
  <w:num w:numId="15" w16cid:durableId="1834643359">
    <w:abstractNumId w:val="22"/>
  </w:num>
  <w:num w:numId="16" w16cid:durableId="1181973129">
    <w:abstractNumId w:val="10"/>
  </w:num>
  <w:num w:numId="17" w16cid:durableId="979773952">
    <w:abstractNumId w:val="25"/>
  </w:num>
  <w:num w:numId="18" w16cid:durableId="817184998">
    <w:abstractNumId w:val="23"/>
  </w:num>
  <w:num w:numId="19" w16cid:durableId="1664511377">
    <w:abstractNumId w:val="6"/>
  </w:num>
  <w:num w:numId="20" w16cid:durableId="548492927">
    <w:abstractNumId w:val="1"/>
  </w:num>
  <w:num w:numId="21" w16cid:durableId="591165158">
    <w:abstractNumId w:val="7"/>
  </w:num>
  <w:num w:numId="22" w16cid:durableId="1827938550">
    <w:abstractNumId w:val="12"/>
  </w:num>
  <w:num w:numId="23" w16cid:durableId="1539930353">
    <w:abstractNumId w:val="14"/>
  </w:num>
  <w:num w:numId="24" w16cid:durableId="839735750">
    <w:abstractNumId w:val="19"/>
  </w:num>
  <w:num w:numId="25" w16cid:durableId="2065519295">
    <w:abstractNumId w:val="9"/>
  </w:num>
  <w:num w:numId="26" w16cid:durableId="260644712">
    <w:abstractNumId w:val="4"/>
  </w:num>
  <w:num w:numId="27" w16cid:durableId="604850986">
    <w:abstractNumId w:val="8"/>
  </w:num>
  <w:num w:numId="28" w16cid:durableId="20745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17043"/>
    <w:rsid w:val="00141681"/>
    <w:rsid w:val="00191FE6"/>
    <w:rsid w:val="001E6261"/>
    <w:rsid w:val="002478EA"/>
    <w:rsid w:val="002B55DA"/>
    <w:rsid w:val="002F25D7"/>
    <w:rsid w:val="00321D41"/>
    <w:rsid w:val="00446848"/>
    <w:rsid w:val="004A1FC9"/>
    <w:rsid w:val="004D7B41"/>
    <w:rsid w:val="00550A66"/>
    <w:rsid w:val="00574E6E"/>
    <w:rsid w:val="0061375C"/>
    <w:rsid w:val="00621E7D"/>
    <w:rsid w:val="006634AA"/>
    <w:rsid w:val="006F02DD"/>
    <w:rsid w:val="00735AF9"/>
    <w:rsid w:val="007B2B5C"/>
    <w:rsid w:val="007C4F63"/>
    <w:rsid w:val="007C7E13"/>
    <w:rsid w:val="007D40E7"/>
    <w:rsid w:val="00891F6D"/>
    <w:rsid w:val="008B7635"/>
    <w:rsid w:val="008D6D7C"/>
    <w:rsid w:val="009015D8"/>
    <w:rsid w:val="00917974"/>
    <w:rsid w:val="00917C63"/>
    <w:rsid w:val="00942A9F"/>
    <w:rsid w:val="009D4EC6"/>
    <w:rsid w:val="009E72F1"/>
    <w:rsid w:val="00A839F6"/>
    <w:rsid w:val="00C36BB6"/>
    <w:rsid w:val="00CA2FDB"/>
    <w:rsid w:val="00D1010D"/>
    <w:rsid w:val="00D17B63"/>
    <w:rsid w:val="00D346EB"/>
    <w:rsid w:val="00D85ADB"/>
    <w:rsid w:val="00D93464"/>
    <w:rsid w:val="00D93B76"/>
    <w:rsid w:val="00DB7B9F"/>
    <w:rsid w:val="00E50CDD"/>
    <w:rsid w:val="00E64143"/>
    <w:rsid w:val="00E95755"/>
    <w:rsid w:val="00EC6660"/>
    <w:rsid w:val="00EE62DF"/>
    <w:rsid w:val="00EE6E42"/>
    <w:rsid w:val="00EF11D1"/>
    <w:rsid w:val="00F37506"/>
    <w:rsid w:val="09A0C50B"/>
    <w:rsid w:val="09C5A023"/>
    <w:rsid w:val="0C3499CE"/>
    <w:rsid w:val="10DC5B90"/>
    <w:rsid w:val="1232FF20"/>
    <w:rsid w:val="18BC1C80"/>
    <w:rsid w:val="18BD84CA"/>
    <w:rsid w:val="1D632876"/>
    <w:rsid w:val="256A38B3"/>
    <w:rsid w:val="2573EB07"/>
    <w:rsid w:val="293A76ED"/>
    <w:rsid w:val="2C32FF0C"/>
    <w:rsid w:val="2EBC717A"/>
    <w:rsid w:val="311AD78F"/>
    <w:rsid w:val="37B90937"/>
    <w:rsid w:val="3D06D304"/>
    <w:rsid w:val="4A78715A"/>
    <w:rsid w:val="5056EE3A"/>
    <w:rsid w:val="5618B94E"/>
    <w:rsid w:val="57427627"/>
    <w:rsid w:val="590F4EA1"/>
    <w:rsid w:val="59B61CD8"/>
    <w:rsid w:val="5B56CD0D"/>
    <w:rsid w:val="680DB01B"/>
    <w:rsid w:val="68297107"/>
    <w:rsid w:val="76DE382E"/>
    <w:rsid w:val="7F40A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Heading1">
    <w:name w:val="Green Heading 1"/>
    <w:basedOn w:val="Normal"/>
    <w:qFormat/>
    <w:rsid w:val="2C32FF0C"/>
    <w:pPr>
      <w:keepNext/>
      <w:spacing w:after="240" w:line="276" w:lineRule="auto"/>
      <w:outlineLvl w:val="0"/>
    </w:pPr>
    <w:rPr>
      <w:rFonts w:asciiTheme="majorHAnsi" w:eastAsiaTheme="majorEastAsia" w:hAnsiTheme="majorHAnsi" w:cstheme="majorBidi"/>
      <w:b/>
      <w:bCs/>
      <w:noProof/>
      <w:color w:val="3CB28C"/>
      <w:sz w:val="48"/>
      <w:szCs w:val="48"/>
    </w:rPr>
  </w:style>
  <w:style w:type="paragraph" w:customStyle="1" w:styleId="Header3">
    <w:name w:val="Header 3"/>
    <w:basedOn w:val="Normal"/>
    <w:qFormat/>
    <w:rsid w:val="2C32FF0C"/>
    <w:pPr>
      <w:keepNext/>
      <w:spacing w:after="120" w:line="276" w:lineRule="auto"/>
      <w:ind w:left="510" w:hanging="510"/>
      <w:outlineLvl w:val="2"/>
    </w:pPr>
    <w:rPr>
      <w:rFonts w:asciiTheme="majorHAnsi" w:eastAsiaTheme="majorEastAsia" w:hAnsiTheme="majorHAnsi" w:cstheme="majorBidi"/>
      <w:b/>
      <w:bCs/>
      <w:color w:val="3C3C3B"/>
      <w:sz w:val="28"/>
      <w:szCs w:val="2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rsid w:val="001E6261"/>
    <w:rPr>
      <w:color w:val="605E5C"/>
      <w:shd w:val="clear" w:color="auto" w:fill="E1DFDD"/>
    </w:rPr>
  </w:style>
  <w:style w:type="paragraph" w:styleId="FootnoteText">
    <w:name w:val="footnote text"/>
    <w:basedOn w:val="Normal"/>
    <w:link w:val="FootnoteTextChar"/>
    <w:uiPriority w:val="99"/>
    <w:semiHidden/>
    <w:unhideWhenUsed/>
    <w:rsid w:val="00CA2FDB"/>
    <w:rPr>
      <w:sz w:val="20"/>
      <w:szCs w:val="20"/>
    </w:rPr>
  </w:style>
  <w:style w:type="character" w:customStyle="1" w:styleId="FootnoteTextChar">
    <w:name w:val="Footnote Text Char"/>
    <w:basedOn w:val="DefaultParagraphFont"/>
    <w:link w:val="FootnoteText"/>
    <w:uiPriority w:val="99"/>
    <w:semiHidden/>
    <w:rsid w:val="00CA2FDB"/>
    <w:rPr>
      <w:sz w:val="20"/>
      <w:szCs w:val="20"/>
    </w:rPr>
  </w:style>
  <w:style w:type="character" w:styleId="FootnoteReference">
    <w:name w:val="footnote reference"/>
    <w:basedOn w:val="DefaultParagraphFont"/>
    <w:uiPriority w:val="99"/>
    <w:semiHidden/>
    <w:unhideWhenUsed/>
    <w:rsid w:val="00CA2FDB"/>
    <w:rPr>
      <w:vertAlign w:val="superscript"/>
    </w:rPr>
  </w:style>
  <w:style w:type="paragraph" w:styleId="CommentSubject">
    <w:name w:val="annotation subject"/>
    <w:basedOn w:val="CommentText"/>
    <w:next w:val="CommentText"/>
    <w:link w:val="CommentSubjectChar"/>
    <w:uiPriority w:val="99"/>
    <w:semiHidden/>
    <w:unhideWhenUsed/>
    <w:rsid w:val="00CA2FDB"/>
    <w:rPr>
      <w:b/>
      <w:bCs/>
    </w:rPr>
  </w:style>
  <w:style w:type="character" w:customStyle="1" w:styleId="CommentSubjectChar">
    <w:name w:val="Comment Subject Char"/>
    <w:basedOn w:val="CommentTextChar"/>
    <w:link w:val="CommentSubject"/>
    <w:uiPriority w:val="99"/>
    <w:semiHidden/>
    <w:rsid w:val="00CA2FDB"/>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8B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our-work/developing-people-and-skills/find-studentships-and-doctoral-training/get-a-studentship-to-fund-your-doctor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rn@hdruk.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what-we-offer/developing-people-and-skills/mrc/mrc-studentships/minimum-amounts-for-studentship-stipends-and-allowa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3E91-6C33-48A0-AE28-5084C239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2497</Words>
  <Characters>14237</Characters>
  <Application>Microsoft Office Word</Application>
  <DocSecurity>0</DocSecurity>
  <Lines>118</Lines>
  <Paragraphs>33</Paragraphs>
  <ScaleCrop>false</ScaleCrop>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Fullegar</cp:lastModifiedBy>
  <cp:revision>2</cp:revision>
  <dcterms:created xsi:type="dcterms:W3CDTF">2023-04-21T10:54:00Z</dcterms:created>
  <dcterms:modified xsi:type="dcterms:W3CDTF">2023-04-21T10:54:00Z</dcterms:modified>
</cp:coreProperties>
</file>