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74FF" w14:textId="1BCA8AB9" w:rsidR="00341BEB" w:rsidRDefault="00923CFE" w:rsidP="002D73E6">
      <w:pPr>
        <w:pStyle w:val="Heading1"/>
        <w:spacing w:line="240" w:lineRule="auto"/>
      </w:pPr>
      <w:r w:rsidRPr="004E5590">
        <w:drawing>
          <wp:anchor distT="0" distB="0" distL="114300" distR="114300" simplePos="0" relativeHeight="251667456" behindDoc="1" locked="0" layoutInCell="1" allowOverlap="1" wp14:anchorId="3318B98C" wp14:editId="77E8C2C5">
            <wp:simplePos x="0" y="0"/>
            <wp:positionH relativeFrom="margin">
              <wp:align>left</wp:align>
            </wp:positionH>
            <wp:positionV relativeFrom="page">
              <wp:posOffset>645795</wp:posOffset>
            </wp:positionV>
            <wp:extent cx="1447800" cy="5126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ukhdra_powerpoin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D0B" w:rsidRPr="00F90A6C">
        <w:drawing>
          <wp:anchor distT="0" distB="0" distL="114300" distR="114300" simplePos="0" relativeHeight="251659264" behindDoc="1" locked="0" layoutInCell="1" allowOverlap="1" wp14:anchorId="638A0A67" wp14:editId="04EC504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510" cy="10692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 backgroun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551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5021751"/>
      <w:r w:rsidR="007E6F66">
        <w:t xml:space="preserve">Freelance </w:t>
      </w:r>
      <w:r w:rsidR="001F52E6">
        <w:t>Copywriting Support 2022-2027</w:t>
      </w:r>
      <w:bookmarkEnd w:id="0"/>
    </w:p>
    <w:p w14:paraId="44388CA9" w14:textId="77777777" w:rsidR="001F52E6" w:rsidRPr="001F52E6" w:rsidRDefault="001F52E6" w:rsidP="001F52E6"/>
    <w:p w14:paraId="688A953A" w14:textId="7C016AB4" w:rsidR="00042A9D" w:rsidRDefault="00F30727" w:rsidP="002D73E6">
      <w:pPr>
        <w:pStyle w:val="Heading1"/>
        <w:spacing w:line="240" w:lineRule="auto"/>
      </w:pPr>
      <w:r>
        <w:t>Invitation to Tender (ITT)</w:t>
      </w:r>
    </w:p>
    <w:p w14:paraId="2CAA5319" w14:textId="7A71AE62" w:rsidR="009758D5" w:rsidRPr="00341BEB" w:rsidRDefault="00937C08" w:rsidP="00341BEB">
      <w:pPr>
        <w:pStyle w:val="Heading2"/>
        <w:rPr>
          <w:color w:val="FF0000"/>
        </w:rPr>
        <w:sectPr w:rsidR="009758D5" w:rsidRPr="00341BEB" w:rsidSect="0084133C">
          <w:headerReference w:type="default" r:id="rId13"/>
          <w:pgSz w:w="11906" w:h="16838" w:code="9"/>
          <w:pgMar w:top="12292" w:right="1134" w:bottom="567" w:left="1134" w:header="2875" w:footer="567" w:gutter="0"/>
          <w:cols w:space="708"/>
          <w:titlePg/>
          <w:docGrid w:linePitch="360"/>
        </w:sectPr>
      </w:pPr>
      <w:r w:rsidRPr="00937C08">
        <w:rPr>
          <w:bCs/>
          <w:noProof/>
          <w:sz w:val="40"/>
          <w:szCs w:val="40"/>
        </w:rPr>
        <w:t xml:space="preserve">Issued </w:t>
      </w:r>
      <w:r w:rsidR="001D5C9C" w:rsidRPr="004C6C70">
        <w:rPr>
          <w:bCs/>
          <w:noProof/>
          <w:sz w:val="40"/>
          <w:szCs w:val="40"/>
        </w:rPr>
        <w:t>15.08.2022</w:t>
      </w:r>
      <w:r w:rsidR="009758D5">
        <w:br w:type="page"/>
      </w:r>
    </w:p>
    <w:p w14:paraId="140A0D6E" w14:textId="49558608" w:rsidR="002555CA" w:rsidRPr="007A4669" w:rsidRDefault="00341BEB" w:rsidP="00341BEB">
      <w:pPr>
        <w:pStyle w:val="GreenHeading1"/>
        <w:spacing w:after="160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Introduction</w:t>
      </w:r>
    </w:p>
    <w:p w14:paraId="3546D2B9" w14:textId="77777777" w:rsidR="00B67C7C" w:rsidRDefault="00524033" w:rsidP="00341BEB">
      <w:pPr>
        <w:spacing w:after="160"/>
        <w:rPr>
          <w:color w:val="3B3B3B"/>
          <w:szCs w:val="22"/>
        </w:rPr>
      </w:pPr>
      <w:r w:rsidRPr="004C5B62">
        <w:rPr>
          <w:color w:val="3B3B3B"/>
          <w:szCs w:val="22"/>
        </w:rPr>
        <w:t xml:space="preserve">Health Data Research UK </w:t>
      </w:r>
      <w:r w:rsidR="00B67950">
        <w:rPr>
          <w:color w:val="3B3B3B"/>
          <w:szCs w:val="22"/>
        </w:rPr>
        <w:t xml:space="preserve">(HDR UK) </w:t>
      </w:r>
      <w:r w:rsidRPr="004C5B62">
        <w:rPr>
          <w:color w:val="3B3B3B"/>
          <w:szCs w:val="22"/>
        </w:rPr>
        <w:t xml:space="preserve">is the national Institute for health data science. </w:t>
      </w:r>
      <w:r w:rsidR="004A549A">
        <w:rPr>
          <w:color w:val="3B3B3B"/>
          <w:szCs w:val="22"/>
        </w:rPr>
        <w:t xml:space="preserve"> </w:t>
      </w:r>
      <w:r w:rsidRPr="004C5B62">
        <w:rPr>
          <w:color w:val="3B3B3B"/>
          <w:szCs w:val="22"/>
        </w:rPr>
        <w:t xml:space="preserve">We require support with producing written content that communicates our mission, demonstrates our impact, </w:t>
      </w:r>
      <w:r w:rsidR="00F91FD7" w:rsidRPr="004C5B62">
        <w:rPr>
          <w:color w:val="3B3B3B"/>
          <w:szCs w:val="22"/>
        </w:rPr>
        <w:t xml:space="preserve">and </w:t>
      </w:r>
      <w:r w:rsidRPr="004C5B62">
        <w:rPr>
          <w:color w:val="3B3B3B"/>
          <w:szCs w:val="22"/>
        </w:rPr>
        <w:t>is accessible</w:t>
      </w:r>
      <w:r w:rsidR="00F91FD7" w:rsidRPr="004C5B62">
        <w:rPr>
          <w:color w:val="3B3B3B"/>
          <w:szCs w:val="22"/>
        </w:rPr>
        <w:t xml:space="preserve"> </w:t>
      </w:r>
      <w:r w:rsidR="00B67C7C">
        <w:rPr>
          <w:color w:val="3B3B3B"/>
          <w:szCs w:val="22"/>
        </w:rPr>
        <w:t>and inclusive</w:t>
      </w:r>
      <w:r w:rsidR="00F91FD7" w:rsidRPr="004C5B62">
        <w:rPr>
          <w:color w:val="3B3B3B"/>
          <w:szCs w:val="22"/>
        </w:rPr>
        <w:t xml:space="preserve"> to </w:t>
      </w:r>
      <w:r w:rsidRPr="004C5B62">
        <w:rPr>
          <w:color w:val="3B3B3B"/>
          <w:szCs w:val="22"/>
        </w:rPr>
        <w:t>a lay audience.</w:t>
      </w:r>
      <w:r w:rsidR="004A549A">
        <w:rPr>
          <w:color w:val="3B3B3B"/>
          <w:szCs w:val="22"/>
        </w:rPr>
        <w:t xml:space="preserve"> </w:t>
      </w:r>
    </w:p>
    <w:p w14:paraId="69EA4188" w14:textId="790ECF1B" w:rsidR="00341BEB" w:rsidRPr="004C5B62" w:rsidRDefault="004A549A" w:rsidP="00341BEB">
      <w:pPr>
        <w:spacing w:after="160"/>
        <w:rPr>
          <w:color w:val="3B3B3B"/>
          <w:szCs w:val="22"/>
        </w:rPr>
      </w:pPr>
      <w:r w:rsidRPr="004C6C70">
        <w:rPr>
          <w:color w:val="3B3B3B"/>
          <w:szCs w:val="22"/>
        </w:rPr>
        <w:t xml:space="preserve">Through this ITT, we plan to appoint a panel of freelance copywriters </w:t>
      </w:r>
      <w:r w:rsidR="00B67950" w:rsidRPr="004C6C70">
        <w:rPr>
          <w:color w:val="3B3B3B"/>
          <w:szCs w:val="22"/>
        </w:rPr>
        <w:t>to support HDR UK</w:t>
      </w:r>
      <w:r w:rsidR="00E146BA" w:rsidRPr="004C6C70">
        <w:rPr>
          <w:color w:val="3B3B3B"/>
          <w:szCs w:val="22"/>
        </w:rPr>
        <w:t xml:space="preserve"> with this important work</w:t>
      </w:r>
      <w:r w:rsidR="00FC496B" w:rsidRPr="004C6C70">
        <w:rPr>
          <w:color w:val="3B3B3B"/>
          <w:szCs w:val="22"/>
        </w:rPr>
        <w:t xml:space="preserve">. The panel will commence </w:t>
      </w:r>
      <w:r w:rsidR="006B05F4" w:rsidRPr="004C6C70">
        <w:rPr>
          <w:color w:val="3B3B3B"/>
          <w:szCs w:val="22"/>
        </w:rPr>
        <w:t>in Autumn 2022</w:t>
      </w:r>
      <w:r w:rsidR="006A7268" w:rsidRPr="004C6C70">
        <w:rPr>
          <w:color w:val="3B3B3B"/>
          <w:szCs w:val="22"/>
        </w:rPr>
        <w:t xml:space="preserve"> </w:t>
      </w:r>
      <w:r w:rsidR="00FC496B" w:rsidRPr="004C6C70">
        <w:rPr>
          <w:color w:val="3B3B3B"/>
          <w:szCs w:val="22"/>
        </w:rPr>
        <w:t xml:space="preserve">and potentially be </w:t>
      </w:r>
      <w:r w:rsidR="006B05F4" w:rsidRPr="004C6C70">
        <w:rPr>
          <w:color w:val="3B3B3B"/>
          <w:szCs w:val="22"/>
        </w:rPr>
        <w:t xml:space="preserve">in place </w:t>
      </w:r>
      <w:r w:rsidR="007C4FE4" w:rsidRPr="004C6C70">
        <w:rPr>
          <w:color w:val="3B3B3B"/>
          <w:szCs w:val="22"/>
        </w:rPr>
        <w:t>through</w:t>
      </w:r>
      <w:r w:rsidR="00FC496B" w:rsidRPr="004C6C70">
        <w:rPr>
          <w:color w:val="3B3B3B"/>
          <w:szCs w:val="22"/>
        </w:rPr>
        <w:t>out</w:t>
      </w:r>
      <w:r w:rsidR="007C4FE4" w:rsidRPr="004C6C70">
        <w:rPr>
          <w:color w:val="3B3B3B"/>
          <w:szCs w:val="22"/>
        </w:rPr>
        <w:t xml:space="preserve"> </w:t>
      </w:r>
      <w:r w:rsidR="00E146BA" w:rsidRPr="004C6C70">
        <w:rPr>
          <w:color w:val="3B3B3B"/>
          <w:szCs w:val="22"/>
        </w:rPr>
        <w:t xml:space="preserve">our next </w:t>
      </w:r>
      <w:r w:rsidR="0063201C" w:rsidRPr="004C6C70">
        <w:rPr>
          <w:color w:val="3B3B3B"/>
          <w:szCs w:val="22"/>
        </w:rPr>
        <w:t>quinquennial funding period 202</w:t>
      </w:r>
      <w:r w:rsidR="007C4FE4" w:rsidRPr="004C6C70">
        <w:rPr>
          <w:color w:val="3B3B3B"/>
          <w:szCs w:val="22"/>
        </w:rPr>
        <w:t>3</w:t>
      </w:r>
      <w:r w:rsidR="0063201C" w:rsidRPr="004C6C70">
        <w:rPr>
          <w:color w:val="3B3B3B"/>
          <w:szCs w:val="22"/>
        </w:rPr>
        <w:t>-202</w:t>
      </w:r>
      <w:r w:rsidR="007C4FE4" w:rsidRPr="004C6C70">
        <w:rPr>
          <w:color w:val="3B3B3B"/>
          <w:szCs w:val="22"/>
        </w:rPr>
        <w:t>8</w:t>
      </w:r>
      <w:r w:rsidR="0063201C" w:rsidRPr="004C6C70">
        <w:rPr>
          <w:color w:val="3B3B3B"/>
          <w:szCs w:val="22"/>
        </w:rPr>
        <w:t>.</w:t>
      </w:r>
    </w:p>
    <w:p w14:paraId="0AE17354" w14:textId="77777777" w:rsidR="008D2501" w:rsidRDefault="008D2501" w:rsidP="00341BEB">
      <w:pPr>
        <w:spacing w:after="160"/>
        <w:rPr>
          <w:color w:val="3B3B3B"/>
          <w:szCs w:val="22"/>
        </w:rPr>
      </w:pPr>
    </w:p>
    <w:p w14:paraId="367C1CB4" w14:textId="1096706A" w:rsidR="008D2501" w:rsidRPr="008D2501" w:rsidRDefault="008D2501" w:rsidP="008D2501">
      <w:pPr>
        <w:pStyle w:val="GreenHeading1"/>
        <w:spacing w:after="160"/>
        <w:contextualSpacing/>
        <w:rPr>
          <w:sz w:val="40"/>
          <w:szCs w:val="40"/>
        </w:rPr>
      </w:pPr>
      <w:r w:rsidRPr="008D2501">
        <w:rPr>
          <w:sz w:val="40"/>
          <w:szCs w:val="40"/>
        </w:rPr>
        <w:t xml:space="preserve">About </w:t>
      </w:r>
      <w:r w:rsidR="001A0958">
        <w:rPr>
          <w:sz w:val="40"/>
          <w:szCs w:val="40"/>
        </w:rPr>
        <w:t>HDR UK</w:t>
      </w:r>
      <w:r w:rsidRPr="008D2501">
        <w:rPr>
          <w:sz w:val="40"/>
          <w:szCs w:val="40"/>
        </w:rPr>
        <w:t xml:space="preserve"> </w:t>
      </w:r>
    </w:p>
    <w:p w14:paraId="5265ED66" w14:textId="05841F20" w:rsidR="008D2501" w:rsidRDefault="008D2501" w:rsidP="008D2501">
      <w:pPr>
        <w:rPr>
          <w:rFonts w:ascii="Calibri" w:eastAsia="Calibri" w:hAnsi="Calibri" w:cs="Calibri"/>
          <w:szCs w:val="22"/>
        </w:rPr>
      </w:pPr>
      <w:r w:rsidRPr="7FE18E7F">
        <w:rPr>
          <w:rFonts w:ascii="Calibri" w:eastAsia="Calibri" w:hAnsi="Calibri" w:cs="Calibri"/>
          <w:szCs w:val="22"/>
        </w:rPr>
        <w:t xml:space="preserve">HDR UK is the national institute for health data that includes England, Wales, </w:t>
      </w:r>
      <w:proofErr w:type="gramStart"/>
      <w:r w:rsidRPr="7FE18E7F">
        <w:rPr>
          <w:rFonts w:ascii="Calibri" w:eastAsia="Calibri" w:hAnsi="Calibri" w:cs="Calibri"/>
          <w:szCs w:val="22"/>
        </w:rPr>
        <w:t>Scotland</w:t>
      </w:r>
      <w:proofErr w:type="gramEnd"/>
      <w:r w:rsidRPr="7FE18E7F">
        <w:rPr>
          <w:rFonts w:ascii="Calibri" w:eastAsia="Calibri" w:hAnsi="Calibri" w:cs="Calibri"/>
          <w:szCs w:val="22"/>
        </w:rPr>
        <w:t xml:space="preserve"> and Northern Ireland. Its mission is to unite the UK’s health data to enable discoveries that improve people’s lives. By working in partnership with the NHS, industry, </w:t>
      </w:r>
      <w:proofErr w:type="gramStart"/>
      <w:r w:rsidRPr="7FE18E7F">
        <w:rPr>
          <w:rFonts w:ascii="Calibri" w:eastAsia="Calibri" w:hAnsi="Calibri" w:cs="Calibri"/>
          <w:szCs w:val="22"/>
        </w:rPr>
        <w:t>academia</w:t>
      </w:r>
      <w:proofErr w:type="gramEnd"/>
      <w:r w:rsidRPr="7FE18E7F">
        <w:rPr>
          <w:rFonts w:ascii="Calibri" w:eastAsia="Calibri" w:hAnsi="Calibri" w:cs="Calibri"/>
          <w:szCs w:val="22"/>
        </w:rPr>
        <w:t xml:space="preserve"> and patients, and providing safe and secure access to rich health data, it aims to better understand diseases and discover new ways to prevent, treat and cure them. </w:t>
      </w:r>
    </w:p>
    <w:p w14:paraId="2B51365A" w14:textId="0612023C" w:rsidR="008D2501" w:rsidRDefault="008D2501" w:rsidP="008D2501">
      <w:pPr>
        <w:jc w:val="both"/>
        <w:rPr>
          <w:rFonts w:ascii="Calibri" w:eastAsia="Calibri" w:hAnsi="Calibri" w:cs="Calibri"/>
          <w:color w:val="000000" w:themeColor="text2"/>
          <w:szCs w:val="22"/>
        </w:rPr>
      </w:pPr>
      <w:r w:rsidRPr="7FE18E7F">
        <w:rPr>
          <w:rFonts w:ascii="Calibri" w:eastAsia="Calibri" w:hAnsi="Calibri" w:cs="Calibri"/>
          <w:szCs w:val="22"/>
        </w:rPr>
        <w:t xml:space="preserve">Health Data Research UK is a charity funded by UK Research and Innovation, the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Medical Research Council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the British Heart Foundation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the National Institute for Health Research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the Economic and Social Research Council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the Engineering and Physical Sciences Research Council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Health and Care Research Wales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Health and Social Care Research and Development Division (Public Health Agency, Northern Ireland)</w:t>
      </w:r>
      <w:r w:rsidRPr="7FE18E7F">
        <w:rPr>
          <w:rFonts w:ascii="Calibri" w:eastAsia="Calibri" w:hAnsi="Calibri" w:cs="Calibri"/>
          <w:color w:val="3B3B3B"/>
          <w:szCs w:val="22"/>
        </w:rPr>
        <w:t xml:space="preserve">, </w:t>
      </w:r>
      <w:r w:rsidRPr="7FE18E7F">
        <w:rPr>
          <w:rFonts w:ascii="Calibri" w:eastAsia="Calibri" w:hAnsi="Calibri" w:cs="Calibri"/>
          <w:color w:val="000000" w:themeColor="text2"/>
          <w:szCs w:val="22"/>
        </w:rPr>
        <w:t>Chief Scientist Office of the Scottish Government Health and Social Care Directorates, and Wellcome.</w:t>
      </w:r>
    </w:p>
    <w:p w14:paraId="7BEC6B6B" w14:textId="0E6E7864" w:rsidR="008D2501" w:rsidRDefault="00316036" w:rsidP="008D2501">
      <w:pPr>
        <w:jc w:val="both"/>
        <w:rPr>
          <w:rFonts w:ascii="Calibri" w:eastAsia="Calibri" w:hAnsi="Calibri" w:cs="Calibri"/>
          <w:color w:val="000000" w:themeColor="text2"/>
          <w:szCs w:val="22"/>
        </w:rPr>
      </w:pPr>
      <w:r w:rsidRPr="7FE18E7F">
        <w:rPr>
          <w:rFonts w:ascii="Calibri" w:eastAsia="Calibri" w:hAnsi="Calibri" w:cs="Calibri"/>
          <w:szCs w:val="22"/>
        </w:rPr>
        <w:t xml:space="preserve">For more information, see the overview of our </w:t>
      </w:r>
      <w:hyperlink r:id="rId14">
        <w:r w:rsidRPr="7FE18E7F">
          <w:rPr>
            <w:rStyle w:val="Hyperlink"/>
            <w:rFonts w:ascii="Calibri" w:eastAsia="Calibri" w:hAnsi="Calibri" w:cs="Calibri"/>
            <w:szCs w:val="22"/>
          </w:rPr>
          <w:t>2023-2028 Strategy.</w:t>
        </w:r>
      </w:hyperlink>
    </w:p>
    <w:p w14:paraId="1A5508C5" w14:textId="77777777" w:rsidR="008D2501" w:rsidRPr="008D2501" w:rsidRDefault="008D2501" w:rsidP="008D2501">
      <w:pPr>
        <w:pStyle w:val="GreenHeading1"/>
        <w:spacing w:after="160"/>
        <w:contextualSpacing/>
        <w:rPr>
          <w:sz w:val="40"/>
          <w:szCs w:val="40"/>
        </w:rPr>
      </w:pPr>
      <w:r w:rsidRPr="008D2501">
        <w:rPr>
          <w:sz w:val="40"/>
          <w:szCs w:val="40"/>
        </w:rPr>
        <w:t>How we work</w:t>
      </w:r>
    </w:p>
    <w:p w14:paraId="4B3E2011" w14:textId="77777777" w:rsidR="008D2501" w:rsidRDefault="008D2501" w:rsidP="008D2501">
      <w:pPr>
        <w:rPr>
          <w:rFonts w:ascii="Calibri" w:eastAsia="Calibri" w:hAnsi="Calibri" w:cs="Calibri"/>
          <w:color w:val="3B3B3B"/>
          <w:szCs w:val="22"/>
        </w:rPr>
      </w:pPr>
      <w:r w:rsidRPr="7FE18E7F">
        <w:rPr>
          <w:rFonts w:ascii="Calibri" w:eastAsia="Calibri" w:hAnsi="Calibri" w:cs="Calibri"/>
          <w:color w:val="3B3B3B"/>
          <w:szCs w:val="22"/>
        </w:rPr>
        <w:t xml:space="preserve">HDR UK is a federated virtual institute. We have a small central team located in London and partners with research organisations, the NHS and industry across 32 locations in the UK. </w:t>
      </w:r>
    </w:p>
    <w:p w14:paraId="2961165A" w14:textId="77777777" w:rsidR="008D2501" w:rsidRDefault="008D2501" w:rsidP="008D2501">
      <w:pPr>
        <w:rPr>
          <w:rFonts w:ascii="Calibri" w:eastAsia="Calibri" w:hAnsi="Calibri" w:cs="Calibri"/>
          <w:szCs w:val="22"/>
        </w:rPr>
      </w:pPr>
      <w:r w:rsidRPr="7FE18E7F">
        <w:rPr>
          <w:rFonts w:ascii="Calibri" w:eastAsia="Calibri" w:hAnsi="Calibri" w:cs="Calibri"/>
          <w:color w:val="3B3B3B"/>
          <w:szCs w:val="22"/>
        </w:rPr>
        <w:t xml:space="preserve">HDR UK’s work spans three core areas: </w:t>
      </w:r>
    </w:p>
    <w:p w14:paraId="0CA33CEF" w14:textId="77777777" w:rsidR="008D2501" w:rsidRDefault="008D2501" w:rsidP="008D2501">
      <w:pPr>
        <w:pStyle w:val="ListParagraph"/>
        <w:numPr>
          <w:ilvl w:val="0"/>
          <w:numId w:val="40"/>
        </w:numPr>
        <w:spacing w:after="0"/>
        <w:rPr>
          <w:szCs w:val="22"/>
        </w:rPr>
      </w:pPr>
      <w:r w:rsidRPr="7FE18E7F">
        <w:rPr>
          <w:rFonts w:ascii="Calibri" w:eastAsia="Calibri" w:hAnsi="Calibri" w:cs="Calibri"/>
          <w:b/>
          <w:bCs/>
          <w:szCs w:val="22"/>
        </w:rPr>
        <w:t xml:space="preserve">Uniting health data: </w:t>
      </w:r>
      <w:r w:rsidRPr="7FE18E7F">
        <w:rPr>
          <w:rFonts w:ascii="Calibri" w:eastAsia="Calibri" w:hAnsi="Calibri" w:cs="Calibri"/>
          <w:szCs w:val="22"/>
        </w:rPr>
        <w:t>Providing the UK-wide and global co-ordination and leadership of health data infrastructure and services required to make health-relevant data FAIR (findable, accessible, interoperable, reusable)</w:t>
      </w:r>
    </w:p>
    <w:p w14:paraId="6D65662D" w14:textId="77777777" w:rsidR="008D2501" w:rsidRDefault="008D2501" w:rsidP="008D2501">
      <w:pPr>
        <w:pStyle w:val="ListParagraph"/>
        <w:numPr>
          <w:ilvl w:val="0"/>
          <w:numId w:val="40"/>
        </w:numPr>
        <w:spacing w:after="0"/>
        <w:rPr>
          <w:szCs w:val="22"/>
        </w:rPr>
      </w:pPr>
      <w:r w:rsidRPr="7FE18E7F">
        <w:rPr>
          <w:rFonts w:ascii="Calibri" w:eastAsia="Calibri" w:hAnsi="Calibri" w:cs="Calibri"/>
          <w:b/>
          <w:bCs/>
          <w:szCs w:val="22"/>
        </w:rPr>
        <w:t xml:space="preserve">Advancing research discoveries: </w:t>
      </w:r>
      <w:r w:rsidRPr="7FE18E7F">
        <w:rPr>
          <w:rFonts w:ascii="Calibri" w:eastAsia="Calibri" w:hAnsi="Calibri" w:cs="Calibri"/>
          <w:szCs w:val="22"/>
        </w:rPr>
        <w:t>Supporting high impact UK-wide research programmes that address major health and societal challenges, guide the development of the infrastructure and services for the benefit of other researchers, and are outward-looking with global reach.</w:t>
      </w:r>
    </w:p>
    <w:p w14:paraId="660DC5E1" w14:textId="77777777" w:rsidR="008D2501" w:rsidRDefault="008D2501" w:rsidP="008D2501">
      <w:pPr>
        <w:pStyle w:val="ListParagraph"/>
        <w:numPr>
          <w:ilvl w:val="0"/>
          <w:numId w:val="40"/>
        </w:numPr>
        <w:spacing w:after="0"/>
        <w:rPr>
          <w:szCs w:val="22"/>
        </w:rPr>
      </w:pPr>
      <w:r w:rsidRPr="7FE18E7F">
        <w:rPr>
          <w:rFonts w:ascii="Calibri" w:eastAsia="Calibri" w:hAnsi="Calibri" w:cs="Calibri"/>
          <w:b/>
          <w:bCs/>
          <w:szCs w:val="22"/>
        </w:rPr>
        <w:t xml:space="preserve">Promoting partnerships: </w:t>
      </w:r>
      <w:r w:rsidRPr="7FE18E7F">
        <w:rPr>
          <w:rFonts w:ascii="Calibri" w:eastAsia="Calibri" w:hAnsi="Calibri" w:cs="Calibri"/>
          <w:szCs w:val="22"/>
        </w:rPr>
        <w:t xml:space="preserve">Assembling an ambitious health data research ecosystem with enduring benefits for all researchers, drawing on skills, resources, and expertise from academic, NHS, </w:t>
      </w:r>
      <w:proofErr w:type="gramStart"/>
      <w:r w:rsidRPr="7FE18E7F">
        <w:rPr>
          <w:rFonts w:ascii="Calibri" w:eastAsia="Calibri" w:hAnsi="Calibri" w:cs="Calibri"/>
          <w:szCs w:val="22"/>
        </w:rPr>
        <w:t>industry</w:t>
      </w:r>
      <w:proofErr w:type="gramEnd"/>
      <w:r w:rsidRPr="7FE18E7F">
        <w:rPr>
          <w:rFonts w:ascii="Calibri" w:eastAsia="Calibri" w:hAnsi="Calibri" w:cs="Calibri"/>
          <w:szCs w:val="22"/>
        </w:rPr>
        <w:t xml:space="preserve"> and government partners.</w:t>
      </w:r>
    </w:p>
    <w:p w14:paraId="7D8FD916" w14:textId="1FF38EAA" w:rsidR="008D2501" w:rsidRDefault="008D2501" w:rsidP="00316036">
      <w:pPr>
        <w:spacing w:after="0"/>
        <w:rPr>
          <w:rFonts w:asciiTheme="majorHAnsi" w:eastAsiaTheme="majorEastAsia" w:hAnsiTheme="majorHAnsi" w:cstheme="majorBidi"/>
          <w:b/>
          <w:bCs/>
          <w:noProof/>
          <w:color w:val="3CB28C" w:themeColor="text1"/>
          <w:sz w:val="40"/>
          <w:szCs w:val="40"/>
        </w:rPr>
      </w:pPr>
    </w:p>
    <w:p w14:paraId="47B2C960" w14:textId="32CD0043" w:rsidR="008D2501" w:rsidRPr="008D2501" w:rsidRDefault="008D2501" w:rsidP="008D2501">
      <w:pPr>
        <w:pStyle w:val="GreenHeading1"/>
        <w:spacing w:after="160"/>
        <w:contextualSpacing/>
        <w:rPr>
          <w:sz w:val="40"/>
          <w:szCs w:val="40"/>
        </w:rPr>
      </w:pPr>
      <w:r w:rsidRPr="008D2501">
        <w:rPr>
          <w:sz w:val="40"/>
          <w:szCs w:val="40"/>
        </w:rPr>
        <w:t>HDR UK’s values</w:t>
      </w:r>
    </w:p>
    <w:p w14:paraId="30E44B9B" w14:textId="77777777" w:rsidR="008D2501" w:rsidRDefault="008D2501" w:rsidP="008D2501">
      <w:pPr>
        <w:ind w:right="-143"/>
        <w:jc w:val="both"/>
        <w:rPr>
          <w:rFonts w:ascii="Calibri" w:eastAsia="Calibri" w:hAnsi="Calibri" w:cs="Calibri"/>
          <w:szCs w:val="22"/>
        </w:rPr>
      </w:pPr>
      <w:r w:rsidRPr="1DCBBCD5">
        <w:rPr>
          <w:rFonts w:ascii="Calibri" w:eastAsia="Calibri" w:hAnsi="Calibri" w:cs="Calibri"/>
          <w:szCs w:val="22"/>
        </w:rPr>
        <w:t>HDR UK’s values guide how we work together within HDR UK and with our partners and other stakeholders:</w:t>
      </w:r>
    </w:p>
    <w:p w14:paraId="41354A15" w14:textId="77777777" w:rsidR="008D2501" w:rsidRDefault="008D2501" w:rsidP="008D2501">
      <w:pPr>
        <w:pStyle w:val="ListParagraph"/>
        <w:numPr>
          <w:ilvl w:val="0"/>
          <w:numId w:val="41"/>
        </w:numPr>
        <w:spacing w:line="260" w:lineRule="atLeast"/>
        <w:ind w:right="-143"/>
        <w:jc w:val="both"/>
        <w:rPr>
          <w:b/>
          <w:bCs/>
          <w:szCs w:val="22"/>
        </w:rPr>
      </w:pPr>
      <w:r w:rsidRPr="1DCBBCD5">
        <w:rPr>
          <w:rFonts w:ascii="Calibri" w:eastAsia="Calibri" w:hAnsi="Calibri" w:cs="Calibri"/>
          <w:b/>
          <w:bCs/>
          <w:szCs w:val="22"/>
        </w:rPr>
        <w:t>Transparency</w:t>
      </w:r>
      <w:r w:rsidRPr="1DCBBCD5">
        <w:rPr>
          <w:rFonts w:ascii="Calibri" w:eastAsia="Calibri" w:hAnsi="Calibri" w:cs="Calibri"/>
          <w:szCs w:val="22"/>
        </w:rPr>
        <w:t xml:space="preserve">: we will share information, </w:t>
      </w:r>
      <w:proofErr w:type="gramStart"/>
      <w:r w:rsidRPr="1DCBBCD5">
        <w:rPr>
          <w:rFonts w:ascii="Calibri" w:eastAsia="Calibri" w:hAnsi="Calibri" w:cs="Calibri"/>
          <w:szCs w:val="22"/>
        </w:rPr>
        <w:t>insights</w:t>
      </w:r>
      <w:proofErr w:type="gramEnd"/>
      <w:r w:rsidRPr="1DCBBCD5">
        <w:rPr>
          <w:rFonts w:ascii="Calibri" w:eastAsia="Calibri" w:hAnsi="Calibri" w:cs="Calibri"/>
          <w:szCs w:val="22"/>
        </w:rPr>
        <w:t xml:space="preserve"> and innovations so that we learn faster together. </w:t>
      </w:r>
    </w:p>
    <w:p w14:paraId="3467DA20" w14:textId="77777777" w:rsidR="008D2501" w:rsidRDefault="008D2501" w:rsidP="008D2501">
      <w:pPr>
        <w:pStyle w:val="ListParagraph"/>
        <w:numPr>
          <w:ilvl w:val="0"/>
          <w:numId w:val="41"/>
        </w:numPr>
        <w:spacing w:line="260" w:lineRule="atLeast"/>
        <w:ind w:right="-143"/>
        <w:jc w:val="both"/>
        <w:rPr>
          <w:b/>
          <w:bCs/>
          <w:szCs w:val="22"/>
        </w:rPr>
      </w:pPr>
      <w:r w:rsidRPr="1DCBBCD5">
        <w:rPr>
          <w:rFonts w:ascii="Calibri" w:eastAsia="Calibri" w:hAnsi="Calibri" w:cs="Calibri"/>
          <w:b/>
          <w:bCs/>
          <w:szCs w:val="22"/>
        </w:rPr>
        <w:t>Optimism</w:t>
      </w:r>
      <w:r w:rsidRPr="1DCBBCD5">
        <w:rPr>
          <w:rFonts w:ascii="Calibri" w:eastAsia="Calibri" w:hAnsi="Calibri" w:cs="Calibri"/>
          <w:szCs w:val="22"/>
        </w:rPr>
        <w:t xml:space="preserve">: we believe that we can make things better, that we can do things differently and that we can overcome challenges to create a new and thriving health data ecosystem that benefits patients and the public, the NHS, scientific </w:t>
      </w:r>
      <w:proofErr w:type="gramStart"/>
      <w:r w:rsidRPr="1DCBBCD5">
        <w:rPr>
          <w:rFonts w:ascii="Calibri" w:eastAsia="Calibri" w:hAnsi="Calibri" w:cs="Calibri"/>
          <w:szCs w:val="22"/>
        </w:rPr>
        <w:t>discovery</w:t>
      </w:r>
      <w:proofErr w:type="gramEnd"/>
      <w:r w:rsidRPr="1DCBBCD5">
        <w:rPr>
          <w:rFonts w:ascii="Calibri" w:eastAsia="Calibri" w:hAnsi="Calibri" w:cs="Calibri"/>
          <w:szCs w:val="22"/>
        </w:rPr>
        <w:t xml:space="preserve"> and industry.</w:t>
      </w:r>
    </w:p>
    <w:p w14:paraId="0F27D6F1" w14:textId="77777777" w:rsidR="008D2501" w:rsidRDefault="008D2501" w:rsidP="008D2501">
      <w:pPr>
        <w:pStyle w:val="ListParagraph"/>
        <w:numPr>
          <w:ilvl w:val="0"/>
          <w:numId w:val="41"/>
        </w:numPr>
        <w:spacing w:line="260" w:lineRule="atLeast"/>
        <w:ind w:right="-143"/>
        <w:jc w:val="both"/>
        <w:rPr>
          <w:b/>
          <w:bCs/>
          <w:szCs w:val="22"/>
        </w:rPr>
      </w:pPr>
      <w:r w:rsidRPr="1DCBBCD5">
        <w:rPr>
          <w:rFonts w:ascii="Calibri" w:eastAsia="Calibri" w:hAnsi="Calibri" w:cs="Calibri"/>
          <w:b/>
          <w:bCs/>
          <w:szCs w:val="22"/>
        </w:rPr>
        <w:t>Respect</w:t>
      </w:r>
      <w:r w:rsidRPr="1DCBBCD5">
        <w:rPr>
          <w:rFonts w:ascii="Calibri" w:eastAsia="Calibri" w:hAnsi="Calibri" w:cs="Calibri"/>
          <w:szCs w:val="22"/>
        </w:rPr>
        <w:t xml:space="preserve">: we deliver better results when we work in a truly interdisciplinary way. We listen, </w:t>
      </w:r>
      <w:proofErr w:type="gramStart"/>
      <w:r w:rsidRPr="1DCBBCD5">
        <w:rPr>
          <w:rFonts w:ascii="Calibri" w:eastAsia="Calibri" w:hAnsi="Calibri" w:cs="Calibri"/>
          <w:szCs w:val="22"/>
        </w:rPr>
        <w:t>share</w:t>
      </w:r>
      <w:proofErr w:type="gramEnd"/>
      <w:r w:rsidRPr="1DCBBCD5">
        <w:rPr>
          <w:rFonts w:ascii="Calibri" w:eastAsia="Calibri" w:hAnsi="Calibri" w:cs="Calibri"/>
          <w:szCs w:val="22"/>
        </w:rPr>
        <w:t xml:space="preserve"> and respect a diversity of thought and opinion, perspective and experience. We are inclusive - leveraging and fairly attributing the expertise and capabilities of others. </w:t>
      </w:r>
    </w:p>
    <w:p w14:paraId="066DA2D0" w14:textId="77777777" w:rsidR="008D2501" w:rsidRDefault="008D2501" w:rsidP="008D2501">
      <w:pPr>
        <w:pStyle w:val="ListParagraph"/>
        <w:numPr>
          <w:ilvl w:val="0"/>
          <w:numId w:val="41"/>
        </w:numPr>
        <w:spacing w:line="260" w:lineRule="atLeast"/>
        <w:ind w:right="-143"/>
        <w:jc w:val="both"/>
        <w:rPr>
          <w:b/>
          <w:bCs/>
          <w:szCs w:val="22"/>
        </w:rPr>
      </w:pPr>
      <w:r w:rsidRPr="1DCBBCD5">
        <w:rPr>
          <w:rFonts w:ascii="Calibri" w:eastAsia="Calibri" w:hAnsi="Calibri" w:cs="Calibri"/>
          <w:b/>
          <w:bCs/>
          <w:szCs w:val="22"/>
        </w:rPr>
        <w:t>Courage</w:t>
      </w:r>
      <w:r w:rsidRPr="1DCBBCD5">
        <w:rPr>
          <w:rFonts w:ascii="Calibri" w:eastAsia="Calibri" w:hAnsi="Calibri" w:cs="Calibri"/>
          <w:szCs w:val="22"/>
        </w:rPr>
        <w:t xml:space="preserve">: we are leading the way and will be prepared to try new things, take risks, embrace </w:t>
      </w:r>
      <w:proofErr w:type="gramStart"/>
      <w:r w:rsidRPr="1DCBBCD5">
        <w:rPr>
          <w:rFonts w:ascii="Calibri" w:eastAsia="Calibri" w:hAnsi="Calibri" w:cs="Calibri"/>
          <w:szCs w:val="22"/>
        </w:rPr>
        <w:t>ambiguity</w:t>
      </w:r>
      <w:proofErr w:type="gramEnd"/>
      <w:r w:rsidRPr="1DCBBCD5">
        <w:rPr>
          <w:rFonts w:ascii="Calibri" w:eastAsia="Calibri" w:hAnsi="Calibri" w:cs="Calibri"/>
          <w:szCs w:val="22"/>
        </w:rPr>
        <w:t xml:space="preserve"> and challenge the status quo. We will contribute opinions to shape the future of health data research. </w:t>
      </w:r>
    </w:p>
    <w:p w14:paraId="370BAF13" w14:textId="77777777" w:rsidR="008D2501" w:rsidRDefault="008D2501" w:rsidP="008D2501">
      <w:pPr>
        <w:pStyle w:val="ListParagraph"/>
        <w:numPr>
          <w:ilvl w:val="0"/>
          <w:numId w:val="41"/>
        </w:numPr>
        <w:spacing w:line="260" w:lineRule="atLeast"/>
        <w:ind w:right="-143"/>
        <w:jc w:val="both"/>
        <w:rPr>
          <w:b/>
          <w:bCs/>
          <w:szCs w:val="22"/>
        </w:rPr>
      </w:pPr>
      <w:r w:rsidRPr="1DCBBCD5">
        <w:rPr>
          <w:rFonts w:ascii="Calibri" w:eastAsia="Calibri" w:hAnsi="Calibri" w:cs="Calibri"/>
          <w:b/>
          <w:bCs/>
          <w:szCs w:val="22"/>
        </w:rPr>
        <w:t>Humility</w:t>
      </w:r>
      <w:r w:rsidRPr="1DCBBCD5">
        <w:rPr>
          <w:rFonts w:ascii="Calibri" w:eastAsia="Calibri" w:hAnsi="Calibri" w:cs="Calibri"/>
          <w:szCs w:val="22"/>
        </w:rPr>
        <w:t>: we have a lot to learn from others; and aim to be free from pride and arrogance.</w:t>
      </w:r>
    </w:p>
    <w:p w14:paraId="014E5E16" w14:textId="77777777" w:rsidR="008D2501" w:rsidRDefault="008D2501" w:rsidP="00341BEB">
      <w:pPr>
        <w:spacing w:after="160"/>
      </w:pPr>
    </w:p>
    <w:p w14:paraId="6859098A" w14:textId="533365AF" w:rsidR="002555CA" w:rsidRPr="007A4669" w:rsidRDefault="001C7D1B" w:rsidP="00341BEB">
      <w:pPr>
        <w:pStyle w:val="GreenHeading1"/>
        <w:spacing w:after="160"/>
        <w:contextualSpacing/>
        <w:rPr>
          <w:sz w:val="40"/>
          <w:szCs w:val="40"/>
        </w:rPr>
      </w:pPr>
      <w:r>
        <w:rPr>
          <w:sz w:val="40"/>
          <w:szCs w:val="40"/>
        </w:rPr>
        <w:t>Background</w:t>
      </w:r>
    </w:p>
    <w:p w14:paraId="0E679EEB" w14:textId="113D46DE" w:rsidR="003E7152" w:rsidRPr="00B67C7C" w:rsidRDefault="00A64811" w:rsidP="00341BEB">
      <w:pPr>
        <w:spacing w:after="160"/>
        <w:contextualSpacing/>
        <w:rPr>
          <w:b/>
          <w:bCs/>
          <w:szCs w:val="22"/>
        </w:rPr>
      </w:pPr>
      <w:r w:rsidRPr="00B67C7C">
        <w:rPr>
          <w:b/>
          <w:bCs/>
          <w:szCs w:val="22"/>
        </w:rPr>
        <w:t>Overview of the communications team</w:t>
      </w:r>
    </w:p>
    <w:p w14:paraId="4EB4C990" w14:textId="77777777" w:rsidR="00B67C7C" w:rsidRPr="00B67C7C" w:rsidRDefault="00B67C7C" w:rsidP="00341BEB">
      <w:pPr>
        <w:spacing w:after="160"/>
        <w:contextualSpacing/>
        <w:rPr>
          <w:b/>
          <w:bCs/>
          <w:szCs w:val="22"/>
        </w:rPr>
      </w:pPr>
    </w:p>
    <w:p w14:paraId="5C7A04BB" w14:textId="47FD0C0C" w:rsidR="00B67C7C" w:rsidRDefault="00B67C7C" w:rsidP="00341BEB">
      <w:pPr>
        <w:spacing w:after="160"/>
        <w:contextualSpacing/>
        <w:rPr>
          <w:szCs w:val="22"/>
        </w:rPr>
      </w:pPr>
      <w:r w:rsidRPr="00B67C7C">
        <w:rPr>
          <w:szCs w:val="22"/>
        </w:rPr>
        <w:t xml:space="preserve">HDR UK </w:t>
      </w:r>
      <w:r>
        <w:rPr>
          <w:szCs w:val="22"/>
        </w:rPr>
        <w:t>has a small communications team of three, who report to the Director of Insights, Communications and Engagement.</w:t>
      </w:r>
    </w:p>
    <w:p w14:paraId="381236C4" w14:textId="77777777" w:rsidR="00B67C7C" w:rsidRDefault="00B67C7C" w:rsidP="00341BEB">
      <w:pPr>
        <w:spacing w:after="160"/>
        <w:contextualSpacing/>
        <w:rPr>
          <w:szCs w:val="22"/>
        </w:rPr>
      </w:pPr>
    </w:p>
    <w:p w14:paraId="7B6EB62A" w14:textId="7EA81B96" w:rsidR="00B67C7C" w:rsidRDefault="00B67C7C" w:rsidP="00341BEB">
      <w:pPr>
        <w:spacing w:after="160"/>
        <w:contextualSpacing/>
        <w:rPr>
          <w:szCs w:val="22"/>
        </w:rPr>
      </w:pPr>
      <w:r>
        <w:rPr>
          <w:szCs w:val="22"/>
        </w:rPr>
        <w:t xml:space="preserve">Within the team, our Science Communications Manager oversees communications about the research HDR UK supports – including lay summaries of research papers, research press releases and news stories, </w:t>
      </w:r>
      <w:r w:rsidR="001D7CA5">
        <w:rPr>
          <w:szCs w:val="22"/>
        </w:rPr>
        <w:t xml:space="preserve">write-ups of science events, </w:t>
      </w:r>
      <w:r>
        <w:rPr>
          <w:szCs w:val="22"/>
        </w:rPr>
        <w:t>and impact reports.</w:t>
      </w:r>
    </w:p>
    <w:p w14:paraId="3CB91A9F" w14:textId="77777777" w:rsidR="00B67C7C" w:rsidRDefault="00B67C7C" w:rsidP="00341BEB">
      <w:pPr>
        <w:spacing w:after="160"/>
        <w:contextualSpacing/>
        <w:rPr>
          <w:szCs w:val="22"/>
        </w:rPr>
      </w:pPr>
    </w:p>
    <w:p w14:paraId="6052FA40" w14:textId="63B2934C" w:rsidR="00B67C7C" w:rsidRDefault="00B67C7C" w:rsidP="00341BEB">
      <w:pPr>
        <w:spacing w:after="160"/>
        <w:contextualSpacing/>
        <w:rPr>
          <w:szCs w:val="22"/>
        </w:rPr>
      </w:pPr>
      <w:r>
        <w:rPr>
          <w:szCs w:val="22"/>
        </w:rPr>
        <w:t xml:space="preserve">Our Comms and Content officer leads on optimising content for digital channels and produces content </w:t>
      </w:r>
      <w:r w:rsidR="004A5B14">
        <w:rPr>
          <w:szCs w:val="22"/>
        </w:rPr>
        <w:t xml:space="preserve">across the breadth of the institute’s work – including news stories on new partnerships/training programmes/funding announcements, blogs, and interview pieces. </w:t>
      </w:r>
    </w:p>
    <w:p w14:paraId="3561653B" w14:textId="77777777" w:rsidR="00B67C7C" w:rsidRDefault="00B67C7C" w:rsidP="00341BEB">
      <w:pPr>
        <w:spacing w:after="160"/>
        <w:contextualSpacing/>
        <w:rPr>
          <w:szCs w:val="22"/>
        </w:rPr>
      </w:pPr>
    </w:p>
    <w:p w14:paraId="7E75FD4C" w14:textId="54C9C052" w:rsidR="00B67C7C" w:rsidRPr="00B67C7C" w:rsidRDefault="00B67C7C" w:rsidP="00341BEB">
      <w:pPr>
        <w:spacing w:after="160"/>
        <w:contextualSpacing/>
        <w:rPr>
          <w:szCs w:val="22"/>
        </w:rPr>
      </w:pPr>
      <w:r>
        <w:rPr>
          <w:szCs w:val="22"/>
        </w:rPr>
        <w:t xml:space="preserve">Our Head of Communications oversees both functions and </w:t>
      </w:r>
      <w:r w:rsidR="001D7CA5">
        <w:rPr>
          <w:szCs w:val="22"/>
        </w:rPr>
        <w:t xml:space="preserve">leads on </w:t>
      </w:r>
      <w:r>
        <w:rPr>
          <w:szCs w:val="22"/>
        </w:rPr>
        <w:t>corporate communications for HDR UK</w:t>
      </w:r>
      <w:r w:rsidR="001D7CA5">
        <w:rPr>
          <w:szCs w:val="22"/>
        </w:rPr>
        <w:t xml:space="preserve"> – including the Annual Report, strategy documents, major announcements, and reputation management.</w:t>
      </w:r>
    </w:p>
    <w:p w14:paraId="647D07A1" w14:textId="2B9AA71F" w:rsidR="00B67C7C" w:rsidRDefault="00B67C7C" w:rsidP="00341BEB">
      <w:pPr>
        <w:spacing w:after="160"/>
        <w:contextualSpacing/>
        <w:rPr>
          <w:szCs w:val="22"/>
          <w:highlight w:val="yellow"/>
        </w:rPr>
      </w:pPr>
    </w:p>
    <w:p w14:paraId="15DF7DB3" w14:textId="4E4FC992" w:rsidR="003E7152" w:rsidRPr="00B67C7C" w:rsidRDefault="00B67C7C" w:rsidP="00341BEB">
      <w:pPr>
        <w:spacing w:after="160"/>
        <w:contextualSpacing/>
        <w:rPr>
          <w:b/>
          <w:bCs/>
          <w:szCs w:val="22"/>
        </w:rPr>
      </w:pPr>
      <w:r w:rsidRPr="00B67C7C">
        <w:rPr>
          <w:b/>
          <w:bCs/>
          <w:szCs w:val="22"/>
        </w:rPr>
        <w:t xml:space="preserve">Why </w:t>
      </w:r>
      <w:r w:rsidR="003E7152" w:rsidRPr="00B67C7C">
        <w:rPr>
          <w:b/>
          <w:bCs/>
          <w:szCs w:val="22"/>
        </w:rPr>
        <w:t>freelance writing support is required</w:t>
      </w:r>
    </w:p>
    <w:p w14:paraId="7DB44BEE" w14:textId="08D1E5FF" w:rsidR="00B67C7C" w:rsidRPr="00B67C7C" w:rsidRDefault="00B67C7C" w:rsidP="00341BEB">
      <w:pPr>
        <w:spacing w:after="160"/>
        <w:contextualSpacing/>
        <w:rPr>
          <w:szCs w:val="22"/>
        </w:rPr>
      </w:pPr>
    </w:p>
    <w:p w14:paraId="2C310984" w14:textId="7903DFAE" w:rsidR="00F31A63" w:rsidRDefault="00B67C7C" w:rsidP="00341BEB">
      <w:pPr>
        <w:spacing w:after="160"/>
        <w:contextualSpacing/>
        <w:rPr>
          <w:szCs w:val="22"/>
        </w:rPr>
      </w:pPr>
      <w:r w:rsidRPr="00B67C7C">
        <w:rPr>
          <w:szCs w:val="22"/>
        </w:rPr>
        <w:t xml:space="preserve">Given </w:t>
      </w:r>
      <w:r w:rsidR="001D7CA5">
        <w:rPr>
          <w:szCs w:val="22"/>
        </w:rPr>
        <w:t xml:space="preserve">the relatively small size of our </w:t>
      </w:r>
      <w:r w:rsidR="00161F2A">
        <w:rPr>
          <w:szCs w:val="22"/>
        </w:rPr>
        <w:t>C</w:t>
      </w:r>
      <w:r w:rsidR="001D7CA5">
        <w:rPr>
          <w:szCs w:val="22"/>
        </w:rPr>
        <w:t>ommunications team, we require external support with producing written conten</w:t>
      </w:r>
      <w:r w:rsidR="00F31A63">
        <w:rPr>
          <w:szCs w:val="22"/>
        </w:rPr>
        <w:t xml:space="preserve">t </w:t>
      </w:r>
      <w:r w:rsidR="00161F2A">
        <w:rPr>
          <w:szCs w:val="22"/>
        </w:rPr>
        <w:t>to manage the team’s capacity and support them when under strain</w:t>
      </w:r>
      <w:r w:rsidR="00F31A63">
        <w:rPr>
          <w:szCs w:val="22"/>
        </w:rPr>
        <w:t xml:space="preserve">. </w:t>
      </w:r>
    </w:p>
    <w:p w14:paraId="3D1AE4EE" w14:textId="4BCD53CE" w:rsidR="00F31A63" w:rsidRDefault="00F31A63" w:rsidP="00341BEB">
      <w:pPr>
        <w:spacing w:after="160"/>
        <w:contextualSpacing/>
        <w:rPr>
          <w:szCs w:val="22"/>
        </w:rPr>
      </w:pPr>
    </w:p>
    <w:p w14:paraId="1F14DB68" w14:textId="53FAC360" w:rsidR="00F31A63" w:rsidRDefault="00161F2A" w:rsidP="00341BEB">
      <w:pPr>
        <w:spacing w:after="160"/>
        <w:contextualSpacing/>
        <w:rPr>
          <w:szCs w:val="22"/>
        </w:rPr>
      </w:pPr>
      <w:r>
        <w:rPr>
          <w:szCs w:val="22"/>
        </w:rPr>
        <w:t xml:space="preserve">Some pieces of work will be consistently assigned to freelance writers, including our monthly batch of 3-6 research lay summaries. </w:t>
      </w:r>
    </w:p>
    <w:p w14:paraId="5626112A" w14:textId="60B3999C" w:rsidR="00161F2A" w:rsidRPr="00B67C7C" w:rsidRDefault="00161F2A" w:rsidP="00341BEB">
      <w:pPr>
        <w:spacing w:after="160"/>
        <w:contextualSpacing/>
        <w:rPr>
          <w:szCs w:val="22"/>
        </w:rPr>
      </w:pPr>
      <w:r>
        <w:rPr>
          <w:szCs w:val="22"/>
        </w:rPr>
        <w:lastRenderedPageBreak/>
        <w:t>Other pieces of work will be assigned on a more ad-hoc basis, including longer pieces of content like event write-ups, and reactive content like news stories that the team don’t have capacity to lead on.</w:t>
      </w:r>
    </w:p>
    <w:p w14:paraId="33D70544" w14:textId="77777777" w:rsidR="003E7152" w:rsidRDefault="003E7152" w:rsidP="00341BEB">
      <w:pPr>
        <w:spacing w:after="160"/>
        <w:contextualSpacing/>
        <w:rPr>
          <w:szCs w:val="22"/>
          <w:highlight w:val="yellow"/>
        </w:rPr>
      </w:pPr>
    </w:p>
    <w:p w14:paraId="6C712A2A" w14:textId="6518D9ED" w:rsidR="00272585" w:rsidRDefault="001D7CA5" w:rsidP="00272585">
      <w:pPr>
        <w:rPr>
          <w:rFonts w:ascii="Calibri" w:eastAsia="Calibri" w:hAnsi="Calibri" w:cs="Calibri"/>
          <w:b/>
          <w:bCs/>
          <w:szCs w:val="22"/>
        </w:rPr>
      </w:pPr>
      <w:r w:rsidRPr="001D7CA5">
        <w:rPr>
          <w:b/>
          <w:bCs/>
          <w:szCs w:val="22"/>
        </w:rPr>
        <w:t>How</w:t>
      </w:r>
      <w:r w:rsidR="00A64811" w:rsidRPr="001D7CA5">
        <w:rPr>
          <w:b/>
          <w:bCs/>
          <w:szCs w:val="22"/>
        </w:rPr>
        <w:t xml:space="preserve"> freelance support dovetail</w:t>
      </w:r>
      <w:r w:rsidR="00ED5FE2" w:rsidRPr="001D7CA5">
        <w:rPr>
          <w:b/>
          <w:bCs/>
          <w:szCs w:val="22"/>
        </w:rPr>
        <w:t>s</w:t>
      </w:r>
      <w:r w:rsidR="00A64811" w:rsidRPr="001D7CA5">
        <w:rPr>
          <w:b/>
          <w:bCs/>
          <w:szCs w:val="22"/>
        </w:rPr>
        <w:t xml:space="preserve"> into th</w:t>
      </w:r>
      <w:r w:rsidR="003E7152" w:rsidRPr="001D7CA5">
        <w:rPr>
          <w:b/>
          <w:bCs/>
          <w:szCs w:val="22"/>
        </w:rPr>
        <w:t>e communications team</w:t>
      </w:r>
    </w:p>
    <w:p w14:paraId="2E017627" w14:textId="2263AA86" w:rsidR="00F31A63" w:rsidRDefault="00BE1314" w:rsidP="0027258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Suppliers</w:t>
      </w:r>
      <w:r w:rsidR="004A5B14">
        <w:rPr>
          <w:rFonts w:ascii="Calibri" w:eastAsia="Calibri" w:hAnsi="Calibri" w:cs="Calibri"/>
          <w:szCs w:val="22"/>
        </w:rPr>
        <w:t xml:space="preserve"> would be briefed by the relevant </w:t>
      </w:r>
      <w:r w:rsidR="00F31A63">
        <w:rPr>
          <w:rFonts w:ascii="Calibri" w:eastAsia="Calibri" w:hAnsi="Calibri" w:cs="Calibri"/>
          <w:szCs w:val="22"/>
        </w:rPr>
        <w:t xml:space="preserve">member of the Communications team on any given </w:t>
      </w:r>
      <w:proofErr w:type="gramStart"/>
      <w:r w:rsidR="00F31A63">
        <w:rPr>
          <w:rFonts w:ascii="Calibri" w:eastAsia="Calibri" w:hAnsi="Calibri" w:cs="Calibri"/>
          <w:szCs w:val="22"/>
        </w:rPr>
        <w:t>job, and</w:t>
      </w:r>
      <w:proofErr w:type="gramEnd"/>
      <w:r w:rsidR="00F31A63">
        <w:rPr>
          <w:rFonts w:ascii="Calibri" w:eastAsia="Calibri" w:hAnsi="Calibri" w:cs="Calibri"/>
          <w:szCs w:val="22"/>
        </w:rPr>
        <w:t xml:space="preserve"> would be expected to work directly with that individual to complete the piece of work.</w:t>
      </w:r>
    </w:p>
    <w:p w14:paraId="75AE717E" w14:textId="7016993C" w:rsidR="004A5B14" w:rsidRPr="004A5B14" w:rsidRDefault="00F31A63" w:rsidP="00272585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This point of contact from HDR UK would also manage invoicing and payment for the given job.</w:t>
      </w:r>
    </w:p>
    <w:p w14:paraId="293ADE81" w14:textId="77777777" w:rsidR="00524124" w:rsidRPr="00EF2A8C" w:rsidRDefault="00524124" w:rsidP="00341BEB">
      <w:pPr>
        <w:spacing w:after="160"/>
        <w:contextualSpacing/>
        <w:rPr>
          <w:szCs w:val="22"/>
          <w:highlight w:val="yellow"/>
        </w:rPr>
      </w:pPr>
    </w:p>
    <w:p w14:paraId="22CB8632" w14:textId="47B1F6F8" w:rsidR="002555CA" w:rsidRDefault="1DE29D4B" w:rsidP="00ED423D">
      <w:pPr>
        <w:pStyle w:val="GreenHeading1"/>
        <w:spacing w:after="160"/>
        <w:contextualSpacing/>
        <w:rPr>
          <w:sz w:val="40"/>
          <w:szCs w:val="40"/>
        </w:rPr>
      </w:pPr>
      <w:r w:rsidRPr="00ED423D">
        <w:rPr>
          <w:sz w:val="40"/>
          <w:szCs w:val="40"/>
        </w:rPr>
        <w:t xml:space="preserve">Our </w:t>
      </w:r>
      <w:r w:rsidR="00524124">
        <w:rPr>
          <w:sz w:val="40"/>
          <w:szCs w:val="40"/>
        </w:rPr>
        <w:t>R</w:t>
      </w:r>
      <w:r w:rsidRPr="00ED423D">
        <w:rPr>
          <w:sz w:val="40"/>
          <w:szCs w:val="40"/>
        </w:rPr>
        <w:t>equirements</w:t>
      </w:r>
    </w:p>
    <w:p w14:paraId="20D64B0B" w14:textId="43AFB434" w:rsidR="003333CD" w:rsidRPr="004635DE" w:rsidRDefault="003333CD" w:rsidP="003333CD">
      <w:pPr>
        <w:rPr>
          <w:rFonts w:ascii="Calibri" w:eastAsia="Calibri" w:hAnsi="Calibri" w:cs="Calibri"/>
        </w:rPr>
      </w:pPr>
      <w:r w:rsidRPr="004635DE">
        <w:rPr>
          <w:rFonts w:ascii="Calibri" w:eastAsia="Calibri" w:hAnsi="Calibri" w:cs="Calibri"/>
          <w:szCs w:val="22"/>
        </w:rPr>
        <w:t xml:space="preserve">HDR UK is seeking freelance writers to work with us to support the delivery of </w:t>
      </w:r>
      <w:r w:rsidR="00D93CED" w:rsidRPr="004635DE">
        <w:rPr>
          <w:rFonts w:ascii="Calibri" w:eastAsia="Calibri" w:hAnsi="Calibri" w:cs="Calibri"/>
          <w:szCs w:val="22"/>
        </w:rPr>
        <w:t>written communications</w:t>
      </w:r>
      <w:r w:rsidR="004635DE" w:rsidRPr="004635DE">
        <w:rPr>
          <w:rFonts w:ascii="Calibri" w:eastAsia="Calibri" w:hAnsi="Calibri" w:cs="Calibri"/>
          <w:szCs w:val="22"/>
        </w:rPr>
        <w:t xml:space="preserve"> that support our communications strategy</w:t>
      </w:r>
      <w:r w:rsidRPr="004635DE">
        <w:rPr>
          <w:rFonts w:ascii="Calibri" w:eastAsia="Calibri" w:hAnsi="Calibri" w:cs="Calibri"/>
        </w:rPr>
        <w:t>.</w:t>
      </w:r>
      <w:r w:rsidR="001B33A4" w:rsidRPr="004635DE">
        <w:rPr>
          <w:rFonts w:ascii="Calibri" w:eastAsia="Calibri" w:hAnsi="Calibri" w:cs="Calibri"/>
        </w:rPr>
        <w:t xml:space="preserve"> </w:t>
      </w:r>
      <w:r w:rsidR="001B33A4" w:rsidRPr="004635DE">
        <w:rPr>
          <w:rFonts w:ascii="Calibri" w:eastAsia="Calibri" w:hAnsi="Calibri" w:cs="Calibri"/>
          <w:b/>
          <w:bCs/>
        </w:rPr>
        <w:t xml:space="preserve">HDR UK anticipates selecting 3-4 freelance writers </w:t>
      </w:r>
      <w:r w:rsidR="00AE469B" w:rsidRPr="004635DE">
        <w:rPr>
          <w:rFonts w:ascii="Calibri" w:eastAsia="Calibri" w:hAnsi="Calibri" w:cs="Calibri"/>
          <w:b/>
          <w:bCs/>
        </w:rPr>
        <w:t>through this procurement process</w:t>
      </w:r>
      <w:r w:rsidR="00087816" w:rsidRPr="004635DE">
        <w:rPr>
          <w:rFonts w:ascii="Calibri" w:eastAsia="Calibri" w:hAnsi="Calibri" w:cs="Calibri"/>
          <w:b/>
          <w:bCs/>
        </w:rPr>
        <w:t xml:space="preserve"> who will be invited to </w:t>
      </w:r>
      <w:proofErr w:type="gramStart"/>
      <w:r w:rsidR="00087816" w:rsidRPr="004635DE">
        <w:rPr>
          <w:rFonts w:ascii="Calibri" w:eastAsia="Calibri" w:hAnsi="Calibri" w:cs="Calibri"/>
          <w:b/>
          <w:bCs/>
        </w:rPr>
        <w:t>enter into</w:t>
      </w:r>
      <w:proofErr w:type="gramEnd"/>
      <w:r w:rsidR="00087816" w:rsidRPr="004635DE">
        <w:rPr>
          <w:rFonts w:ascii="Calibri" w:eastAsia="Calibri" w:hAnsi="Calibri" w:cs="Calibri"/>
          <w:b/>
          <w:bCs/>
        </w:rPr>
        <w:t xml:space="preserve"> a non-exclusive ‘Master Services Agreement’ with HDR UK</w:t>
      </w:r>
      <w:r w:rsidR="00AE469B" w:rsidRPr="004635DE">
        <w:rPr>
          <w:rFonts w:ascii="Calibri" w:eastAsia="Calibri" w:hAnsi="Calibri" w:cs="Calibri"/>
          <w:b/>
          <w:bCs/>
        </w:rPr>
        <w:t>.</w:t>
      </w:r>
      <w:r w:rsidR="00DD21FF" w:rsidRPr="004635DE">
        <w:rPr>
          <w:rFonts w:ascii="Calibri" w:eastAsia="Calibri" w:hAnsi="Calibri" w:cs="Calibri"/>
        </w:rPr>
        <w:t xml:space="preserve">  </w:t>
      </w:r>
    </w:p>
    <w:p w14:paraId="1F7A8842" w14:textId="46A10CED" w:rsidR="006E6FC0" w:rsidRPr="004635DE" w:rsidRDefault="00087816" w:rsidP="00BB48AE">
      <w:pPr>
        <w:rPr>
          <w:rFonts w:ascii="Calibri" w:eastAsia="Calibri" w:hAnsi="Calibri" w:cs="Calibri"/>
        </w:rPr>
      </w:pPr>
      <w:r w:rsidRPr="004635DE">
        <w:rPr>
          <w:rFonts w:ascii="Calibri" w:eastAsia="Calibri" w:hAnsi="Calibri" w:cs="Calibri"/>
        </w:rPr>
        <w:t xml:space="preserve">As and when support is required, HDR UK will issue a brief to the </w:t>
      </w:r>
      <w:r w:rsidR="00014FAE" w:rsidRPr="004635DE">
        <w:rPr>
          <w:rFonts w:ascii="Calibri" w:eastAsia="Calibri" w:hAnsi="Calibri" w:cs="Calibri"/>
        </w:rPr>
        <w:t>panellists</w:t>
      </w:r>
      <w:r w:rsidR="00B00323" w:rsidRPr="004635DE">
        <w:rPr>
          <w:rFonts w:ascii="Calibri" w:eastAsia="Calibri" w:hAnsi="Calibri" w:cs="Calibri"/>
        </w:rPr>
        <w:t xml:space="preserve"> and a quote for each project will be required. </w:t>
      </w:r>
      <w:r w:rsidR="00101509" w:rsidRPr="004635DE">
        <w:rPr>
          <w:rFonts w:ascii="Calibri" w:eastAsia="Calibri" w:hAnsi="Calibri" w:cs="Calibri"/>
        </w:rPr>
        <w:t xml:space="preserve">The </w:t>
      </w:r>
      <w:r w:rsidR="00014FAE" w:rsidRPr="004635DE">
        <w:rPr>
          <w:rFonts w:ascii="Calibri" w:eastAsia="Calibri" w:hAnsi="Calibri" w:cs="Calibri"/>
        </w:rPr>
        <w:t>panellist</w:t>
      </w:r>
      <w:r w:rsidR="00101509" w:rsidRPr="004635DE">
        <w:rPr>
          <w:rFonts w:ascii="Calibri" w:eastAsia="Calibri" w:hAnsi="Calibri" w:cs="Calibri"/>
        </w:rPr>
        <w:t xml:space="preserve"> chosen b</w:t>
      </w:r>
      <w:r w:rsidR="00DF1374" w:rsidRPr="004635DE">
        <w:rPr>
          <w:rFonts w:ascii="Calibri" w:eastAsia="Calibri" w:hAnsi="Calibri" w:cs="Calibri"/>
        </w:rPr>
        <w:t xml:space="preserve">ased </w:t>
      </w:r>
      <w:r w:rsidR="00101509" w:rsidRPr="004635DE">
        <w:rPr>
          <w:rFonts w:ascii="Calibri" w:eastAsia="Calibri" w:hAnsi="Calibri" w:cs="Calibri"/>
        </w:rPr>
        <w:t xml:space="preserve">on the best quote for </w:t>
      </w:r>
      <w:r w:rsidR="00DF1374" w:rsidRPr="004635DE">
        <w:rPr>
          <w:rFonts w:ascii="Calibri" w:eastAsia="Calibri" w:hAnsi="Calibri" w:cs="Calibri"/>
        </w:rPr>
        <w:t>any</w:t>
      </w:r>
      <w:r w:rsidR="00101509" w:rsidRPr="004635DE">
        <w:rPr>
          <w:rFonts w:ascii="Calibri" w:eastAsia="Calibri" w:hAnsi="Calibri" w:cs="Calibri"/>
        </w:rPr>
        <w:t xml:space="preserve"> specific project will be</w:t>
      </w:r>
      <w:r w:rsidR="00DF1374" w:rsidRPr="004635DE">
        <w:rPr>
          <w:rFonts w:ascii="Calibri" w:eastAsia="Calibri" w:hAnsi="Calibri" w:cs="Calibri"/>
        </w:rPr>
        <w:t xml:space="preserve"> awarded that piece of work to be ‘called-off’ under the </w:t>
      </w:r>
      <w:r w:rsidR="006E6FC0" w:rsidRPr="004635DE">
        <w:rPr>
          <w:rFonts w:ascii="Calibri" w:eastAsia="Calibri" w:hAnsi="Calibri" w:cs="Calibri"/>
        </w:rPr>
        <w:t xml:space="preserve">pre-agreed </w:t>
      </w:r>
      <w:r w:rsidR="00DF1374" w:rsidRPr="004635DE">
        <w:rPr>
          <w:rFonts w:ascii="Calibri" w:eastAsia="Calibri" w:hAnsi="Calibri" w:cs="Calibri"/>
        </w:rPr>
        <w:t>terms of the ‘Master Services Agreement’.</w:t>
      </w:r>
    </w:p>
    <w:p w14:paraId="377F14AC" w14:textId="41E1B187" w:rsidR="00BB48AE" w:rsidRPr="004635DE" w:rsidRDefault="0084229D" w:rsidP="00BB48AE">
      <w:pPr>
        <w:rPr>
          <w:rFonts w:ascii="Calibri" w:eastAsia="Calibri" w:hAnsi="Calibri" w:cs="Calibri"/>
        </w:rPr>
      </w:pPr>
      <w:r w:rsidRPr="004635DE">
        <w:rPr>
          <w:rFonts w:ascii="Calibri" w:eastAsia="Calibri" w:hAnsi="Calibri" w:cs="Calibri"/>
        </w:rPr>
        <w:t xml:space="preserve">Establishing this panel will make the process of appointing a </w:t>
      </w:r>
      <w:r w:rsidR="00014FAE" w:rsidRPr="004635DE">
        <w:rPr>
          <w:rFonts w:ascii="Calibri" w:eastAsia="Calibri" w:hAnsi="Calibri" w:cs="Calibri"/>
        </w:rPr>
        <w:t>panellist</w:t>
      </w:r>
      <w:r w:rsidRPr="004635DE">
        <w:rPr>
          <w:rFonts w:ascii="Calibri" w:eastAsia="Calibri" w:hAnsi="Calibri" w:cs="Calibri"/>
        </w:rPr>
        <w:t xml:space="preserve"> efficient over the period planned, mitigating the need for more frequent formal procurement</w:t>
      </w:r>
      <w:r w:rsidR="009C2664" w:rsidRPr="004635DE">
        <w:rPr>
          <w:rFonts w:ascii="Calibri" w:eastAsia="Calibri" w:hAnsi="Calibri" w:cs="Calibri"/>
        </w:rPr>
        <w:t xml:space="preserve"> each time</w:t>
      </w:r>
      <w:r w:rsidRPr="004635DE">
        <w:rPr>
          <w:rFonts w:ascii="Calibri" w:eastAsia="Calibri" w:hAnsi="Calibri" w:cs="Calibri"/>
        </w:rPr>
        <w:t>.</w:t>
      </w:r>
    </w:p>
    <w:p w14:paraId="3F0356B5" w14:textId="2B79B85D" w:rsidR="007C65E1" w:rsidRDefault="00BB48AE" w:rsidP="003333CD">
      <w:pPr>
        <w:rPr>
          <w:rFonts w:ascii="Calibri" w:eastAsia="Calibri" w:hAnsi="Calibri" w:cs="Calibri"/>
        </w:rPr>
      </w:pPr>
      <w:r w:rsidRPr="004635DE">
        <w:rPr>
          <w:rFonts w:ascii="Calibri" w:eastAsia="Calibri" w:hAnsi="Calibri" w:cs="Calibri"/>
        </w:rPr>
        <w:t>HDR UK has previously spent circa £10k per annum on freelance writing services and it is expected that this will continue and potentially increase over the next quinquennium period.</w:t>
      </w:r>
      <w:r w:rsidRPr="004635DE">
        <w:t xml:space="preserve"> Budgets will be provided for individual </w:t>
      </w:r>
      <w:proofErr w:type="gramStart"/>
      <w:r w:rsidRPr="004635DE">
        <w:t>projects</w:t>
      </w:r>
      <w:proofErr w:type="gramEnd"/>
      <w:r w:rsidRPr="004635DE">
        <w:t xml:space="preserve"> and we would expect to pay either based on a day rate or total project for larger pieces of work, to be determined by the project lead.</w:t>
      </w:r>
    </w:p>
    <w:p w14:paraId="07A33829" w14:textId="422BCF76" w:rsidR="003333CD" w:rsidRPr="00524124" w:rsidRDefault="003333CD" w:rsidP="00524124">
      <w:pPr>
        <w:pStyle w:val="GreenHeading1"/>
        <w:spacing w:after="160"/>
        <w:contextualSpacing/>
        <w:rPr>
          <w:sz w:val="40"/>
          <w:szCs w:val="40"/>
        </w:rPr>
      </w:pPr>
      <w:r w:rsidRPr="00524124">
        <w:rPr>
          <w:sz w:val="40"/>
          <w:szCs w:val="40"/>
        </w:rPr>
        <w:t xml:space="preserve">Scope of </w:t>
      </w:r>
      <w:r w:rsidR="005C1980">
        <w:rPr>
          <w:sz w:val="40"/>
          <w:szCs w:val="40"/>
        </w:rPr>
        <w:t>W</w:t>
      </w:r>
      <w:r w:rsidRPr="00524124">
        <w:rPr>
          <w:sz w:val="40"/>
          <w:szCs w:val="40"/>
        </w:rPr>
        <w:t xml:space="preserve">ork </w:t>
      </w:r>
    </w:p>
    <w:p w14:paraId="1BAE395D" w14:textId="363D4005" w:rsidR="003333CD" w:rsidRDefault="003333CD" w:rsidP="003333CD">
      <w:pPr>
        <w:rPr>
          <w:rFonts w:ascii="Calibri" w:eastAsia="Calibri" w:hAnsi="Calibri" w:cs="Calibri"/>
          <w:color w:val="3B3B3B"/>
          <w:szCs w:val="22"/>
        </w:rPr>
      </w:pPr>
      <w:r w:rsidRPr="124F0A28">
        <w:rPr>
          <w:rFonts w:ascii="Calibri" w:eastAsia="Calibri" w:hAnsi="Calibri" w:cs="Calibri"/>
          <w:color w:val="3B3B3B"/>
          <w:szCs w:val="22"/>
        </w:rPr>
        <w:t>The work will include</w:t>
      </w:r>
      <w:r w:rsidR="00BC36BE">
        <w:rPr>
          <w:rFonts w:ascii="Calibri" w:eastAsia="Calibri" w:hAnsi="Calibri" w:cs="Calibri"/>
          <w:color w:val="3B3B3B"/>
          <w:szCs w:val="22"/>
        </w:rPr>
        <w:t xml:space="preserve"> (</w:t>
      </w:r>
      <w:r w:rsidRPr="124F0A28">
        <w:rPr>
          <w:rFonts w:ascii="Calibri" w:eastAsia="Calibri" w:hAnsi="Calibri" w:cs="Calibri"/>
          <w:color w:val="3B3B3B"/>
          <w:szCs w:val="22"/>
        </w:rPr>
        <w:t>but does not guarantee and is not limited to</w:t>
      </w:r>
      <w:r w:rsidR="00BC36BE">
        <w:rPr>
          <w:rFonts w:ascii="Calibri" w:eastAsia="Calibri" w:hAnsi="Calibri" w:cs="Calibri"/>
          <w:color w:val="3B3B3B"/>
          <w:szCs w:val="22"/>
        </w:rPr>
        <w:t>)</w:t>
      </w:r>
      <w:r w:rsidRPr="124F0A28">
        <w:rPr>
          <w:rFonts w:ascii="Calibri" w:eastAsia="Calibri" w:hAnsi="Calibri" w:cs="Calibri"/>
          <w:color w:val="3B3B3B"/>
          <w:szCs w:val="22"/>
        </w:rPr>
        <w:t xml:space="preserve">: </w:t>
      </w:r>
      <w:r w:rsidR="005A561E">
        <w:rPr>
          <w:rFonts w:ascii="Calibri" w:eastAsia="Calibri" w:hAnsi="Calibri" w:cs="Calibri"/>
          <w:color w:val="3B3B3B"/>
          <w:szCs w:val="22"/>
        </w:rPr>
        <w:t xml:space="preserve">3-6 </w:t>
      </w:r>
      <w:hyperlink r:id="rId15">
        <w:r w:rsidRPr="124F0A28">
          <w:rPr>
            <w:rStyle w:val="Hyperlink"/>
            <w:rFonts w:ascii="Calibri" w:eastAsia="Calibri" w:hAnsi="Calibri" w:cs="Calibri"/>
            <w:szCs w:val="22"/>
          </w:rPr>
          <w:t>research case studies</w:t>
        </w:r>
      </w:hyperlink>
      <w:r w:rsidR="005A561E">
        <w:rPr>
          <w:rFonts w:ascii="Calibri" w:eastAsia="Calibri" w:hAnsi="Calibri" w:cs="Calibri"/>
          <w:color w:val="3B3B3B"/>
          <w:szCs w:val="22"/>
        </w:rPr>
        <w:t xml:space="preserve"> per month</w:t>
      </w:r>
      <w:r w:rsidR="004A4F7E">
        <w:rPr>
          <w:rFonts w:ascii="Calibri" w:eastAsia="Calibri" w:hAnsi="Calibri" w:cs="Calibri"/>
          <w:color w:val="3B3B3B"/>
          <w:szCs w:val="22"/>
        </w:rPr>
        <w:t xml:space="preserve"> as selected by HDR UK’s Impact Committee</w:t>
      </w:r>
      <w:r w:rsidR="005A561E">
        <w:rPr>
          <w:rFonts w:ascii="Calibri" w:eastAsia="Calibri" w:hAnsi="Calibri" w:cs="Calibri"/>
          <w:color w:val="3B3B3B"/>
          <w:szCs w:val="22"/>
        </w:rPr>
        <w:t>,</w:t>
      </w:r>
      <w:r w:rsidRPr="124F0A28">
        <w:rPr>
          <w:rFonts w:ascii="Calibri" w:eastAsia="Calibri" w:hAnsi="Calibri" w:cs="Calibri"/>
          <w:color w:val="3B3B3B"/>
          <w:szCs w:val="22"/>
        </w:rPr>
        <w:t xml:space="preserve"> </w:t>
      </w:r>
      <w:hyperlink r:id="rId16">
        <w:r w:rsidRPr="124F0A28">
          <w:rPr>
            <w:rStyle w:val="Hyperlink"/>
            <w:rFonts w:ascii="Calibri" w:eastAsia="Calibri" w:hAnsi="Calibri" w:cs="Calibri"/>
            <w:szCs w:val="22"/>
          </w:rPr>
          <w:t>lay summaries of research papers</w:t>
        </w:r>
      </w:hyperlink>
      <w:r w:rsidRPr="124F0A28">
        <w:rPr>
          <w:rFonts w:ascii="Calibri" w:eastAsia="Calibri" w:hAnsi="Calibri" w:cs="Calibri"/>
          <w:color w:val="3B3B3B"/>
          <w:szCs w:val="22"/>
        </w:rPr>
        <w:t xml:space="preserve">, </w:t>
      </w:r>
      <w:hyperlink r:id="rId17">
        <w:r w:rsidRPr="124F0A28">
          <w:rPr>
            <w:rStyle w:val="Hyperlink"/>
            <w:rFonts w:ascii="Calibri" w:eastAsia="Calibri" w:hAnsi="Calibri" w:cs="Calibri"/>
            <w:szCs w:val="22"/>
          </w:rPr>
          <w:t>news stories</w:t>
        </w:r>
      </w:hyperlink>
      <w:r w:rsidRPr="124F0A28">
        <w:rPr>
          <w:rFonts w:ascii="Calibri" w:eastAsia="Calibri" w:hAnsi="Calibri" w:cs="Calibri"/>
          <w:color w:val="3B3B3B"/>
          <w:szCs w:val="22"/>
        </w:rPr>
        <w:t xml:space="preserve"> and </w:t>
      </w:r>
      <w:hyperlink r:id="rId18">
        <w:r w:rsidRPr="124F0A28">
          <w:rPr>
            <w:rStyle w:val="Hyperlink"/>
            <w:rFonts w:ascii="Calibri" w:eastAsia="Calibri" w:hAnsi="Calibri" w:cs="Calibri"/>
            <w:szCs w:val="22"/>
          </w:rPr>
          <w:t>press releases</w:t>
        </w:r>
      </w:hyperlink>
      <w:r w:rsidRPr="124F0A28">
        <w:rPr>
          <w:rFonts w:ascii="Calibri" w:eastAsia="Calibri" w:hAnsi="Calibri" w:cs="Calibri"/>
          <w:color w:val="3B3B3B"/>
          <w:szCs w:val="22"/>
        </w:rPr>
        <w:t xml:space="preserve">, </w:t>
      </w:r>
      <w:hyperlink r:id="rId19">
        <w:r w:rsidRPr="124F0A28">
          <w:rPr>
            <w:rStyle w:val="Hyperlink"/>
            <w:rFonts w:ascii="Calibri" w:eastAsia="Calibri" w:hAnsi="Calibri" w:cs="Calibri"/>
            <w:szCs w:val="22"/>
          </w:rPr>
          <w:t>event write ups</w:t>
        </w:r>
      </w:hyperlink>
      <w:r w:rsidRPr="124F0A28">
        <w:rPr>
          <w:rFonts w:ascii="Calibri" w:eastAsia="Calibri" w:hAnsi="Calibri" w:cs="Calibri"/>
          <w:color w:val="3B3B3B"/>
          <w:szCs w:val="22"/>
        </w:rPr>
        <w:t xml:space="preserve">, </w:t>
      </w:r>
      <w:hyperlink r:id="rId20">
        <w:r w:rsidRPr="124F0A28">
          <w:rPr>
            <w:rStyle w:val="Hyperlink"/>
            <w:rFonts w:ascii="Calibri" w:eastAsia="Calibri" w:hAnsi="Calibri" w:cs="Calibri"/>
            <w:szCs w:val="22"/>
          </w:rPr>
          <w:t>reports</w:t>
        </w:r>
      </w:hyperlink>
      <w:r w:rsidR="002E73E7">
        <w:rPr>
          <w:rFonts w:ascii="Calibri" w:eastAsia="Calibri" w:hAnsi="Calibri" w:cs="Calibri"/>
          <w:color w:val="3B3B3B"/>
          <w:szCs w:val="22"/>
        </w:rPr>
        <w:t>,</w:t>
      </w:r>
      <w:r w:rsidRPr="124F0A28">
        <w:rPr>
          <w:rFonts w:ascii="Calibri" w:eastAsia="Calibri" w:hAnsi="Calibri" w:cs="Calibri"/>
          <w:color w:val="3B3B3B"/>
          <w:szCs w:val="22"/>
        </w:rPr>
        <w:t xml:space="preserve"> </w:t>
      </w:r>
      <w:hyperlink r:id="rId21">
        <w:r w:rsidRPr="124F0A28">
          <w:rPr>
            <w:rStyle w:val="Hyperlink"/>
            <w:rFonts w:ascii="Calibri" w:eastAsia="Calibri" w:hAnsi="Calibri" w:cs="Calibri"/>
            <w:szCs w:val="22"/>
          </w:rPr>
          <w:t>annual reviews</w:t>
        </w:r>
      </w:hyperlink>
      <w:r w:rsidRPr="124F0A28">
        <w:rPr>
          <w:rFonts w:ascii="Calibri" w:eastAsia="Calibri" w:hAnsi="Calibri" w:cs="Calibri"/>
          <w:color w:val="3B3B3B"/>
          <w:szCs w:val="22"/>
        </w:rPr>
        <w:t xml:space="preserve"> </w:t>
      </w:r>
      <w:r w:rsidR="002E73E7">
        <w:rPr>
          <w:rFonts w:ascii="Calibri" w:eastAsia="Calibri" w:hAnsi="Calibri" w:cs="Calibri"/>
          <w:color w:val="3B3B3B"/>
          <w:szCs w:val="22"/>
        </w:rPr>
        <w:t>and other written content as required.</w:t>
      </w:r>
    </w:p>
    <w:p w14:paraId="4E314D58" w14:textId="628E81CD" w:rsidR="003333CD" w:rsidRDefault="00BC36BE" w:rsidP="003333CD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</w:t>
      </w:r>
      <w:r w:rsidR="003333CD" w:rsidRPr="1DCBBCD5">
        <w:rPr>
          <w:rFonts w:ascii="Calibri" w:eastAsia="Calibri" w:hAnsi="Calibri" w:cs="Calibri"/>
          <w:szCs w:val="22"/>
        </w:rPr>
        <w:t>on-written content (videos, infographic, design work</w:t>
      </w:r>
      <w:r>
        <w:rPr>
          <w:rFonts w:ascii="Calibri" w:eastAsia="Calibri" w:hAnsi="Calibri" w:cs="Calibri"/>
          <w:szCs w:val="22"/>
        </w:rPr>
        <w:t xml:space="preserve"> etc</w:t>
      </w:r>
      <w:r w:rsidR="003333CD" w:rsidRPr="1DCBBCD5">
        <w:rPr>
          <w:rFonts w:ascii="Calibri" w:eastAsia="Calibri" w:hAnsi="Calibri" w:cs="Calibri"/>
          <w:szCs w:val="22"/>
        </w:rPr>
        <w:t>)</w:t>
      </w:r>
      <w:r>
        <w:rPr>
          <w:rFonts w:ascii="Calibri" w:eastAsia="Calibri" w:hAnsi="Calibri" w:cs="Calibri"/>
          <w:szCs w:val="22"/>
        </w:rPr>
        <w:t xml:space="preserve"> is out of scope of this </w:t>
      </w:r>
      <w:r w:rsidR="003F0412">
        <w:rPr>
          <w:rFonts w:ascii="Calibri" w:eastAsia="Calibri" w:hAnsi="Calibri" w:cs="Calibri"/>
          <w:szCs w:val="22"/>
        </w:rPr>
        <w:t>procurement</w:t>
      </w:r>
      <w:r w:rsidR="007C65E1">
        <w:rPr>
          <w:rFonts w:ascii="Calibri" w:eastAsia="Calibri" w:hAnsi="Calibri" w:cs="Calibri"/>
          <w:szCs w:val="22"/>
        </w:rPr>
        <w:t>.</w:t>
      </w:r>
    </w:p>
    <w:p w14:paraId="351BACAD" w14:textId="77777777" w:rsidR="00404974" w:rsidRPr="007A4669" w:rsidRDefault="00404974" w:rsidP="00ED423D">
      <w:pPr>
        <w:pStyle w:val="GreenHeading1"/>
        <w:spacing w:after="160"/>
        <w:contextualSpacing/>
        <w:rPr>
          <w:sz w:val="40"/>
          <w:szCs w:val="40"/>
        </w:rPr>
      </w:pPr>
      <w:r w:rsidRPr="007A4669">
        <w:rPr>
          <w:sz w:val="40"/>
          <w:szCs w:val="40"/>
        </w:rPr>
        <w:t>Location</w:t>
      </w:r>
    </w:p>
    <w:p w14:paraId="5A8BE603" w14:textId="34F70A9C" w:rsidR="00ED423D" w:rsidRDefault="0030633B" w:rsidP="0030633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HDR UK is headquartered </w:t>
      </w:r>
      <w:r w:rsidR="002B1C52">
        <w:rPr>
          <w:rFonts w:ascii="Calibri" w:eastAsia="Calibri" w:hAnsi="Calibri" w:cs="Calibri"/>
          <w:szCs w:val="22"/>
        </w:rPr>
        <w:t xml:space="preserve">in London at the </w:t>
      </w:r>
      <w:r w:rsidRPr="0030633B">
        <w:rPr>
          <w:rFonts w:ascii="Calibri" w:eastAsia="Calibri" w:hAnsi="Calibri" w:cs="Calibri"/>
          <w:szCs w:val="22"/>
        </w:rPr>
        <w:t>Gibbs Building, 215 Euston Road, London, NW1 2BE</w:t>
      </w:r>
      <w:r w:rsidR="002B1C52">
        <w:rPr>
          <w:rFonts w:ascii="Calibri" w:eastAsia="Calibri" w:hAnsi="Calibri" w:cs="Calibri"/>
          <w:szCs w:val="22"/>
        </w:rPr>
        <w:t xml:space="preserve">. However, it is anticipated that services will be delivered remotely </w:t>
      </w:r>
      <w:r w:rsidR="00272585">
        <w:rPr>
          <w:rFonts w:ascii="Calibri" w:eastAsia="Calibri" w:hAnsi="Calibri" w:cs="Calibri"/>
          <w:szCs w:val="22"/>
        </w:rPr>
        <w:t>unless expressly requested as part of a specific project under this proposed agreement.</w:t>
      </w:r>
    </w:p>
    <w:p w14:paraId="6255DB28" w14:textId="396BE122" w:rsidR="004635DE" w:rsidRPr="0030633B" w:rsidRDefault="004635DE" w:rsidP="0030633B">
      <w:pPr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For example, a piece of work involving an event write-up/report may require the </w:t>
      </w:r>
      <w:r w:rsidR="00BE1314">
        <w:rPr>
          <w:rFonts w:ascii="Calibri" w:eastAsia="Calibri" w:hAnsi="Calibri" w:cs="Calibri"/>
          <w:szCs w:val="22"/>
        </w:rPr>
        <w:t>supplier</w:t>
      </w:r>
      <w:r>
        <w:rPr>
          <w:rFonts w:ascii="Calibri" w:eastAsia="Calibri" w:hAnsi="Calibri" w:cs="Calibri"/>
          <w:szCs w:val="22"/>
        </w:rPr>
        <w:t xml:space="preserve"> to attend the event in person.</w:t>
      </w:r>
    </w:p>
    <w:p w14:paraId="4403E9C4" w14:textId="4D9EA339" w:rsidR="00ED423D" w:rsidRPr="00DA7AD4" w:rsidRDefault="00ED423D" w:rsidP="00ED423D">
      <w:pPr>
        <w:pStyle w:val="GreenHeading1"/>
        <w:spacing w:after="160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Procurement Timetable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B616A4" w:rsidRPr="004635DE" w14:paraId="79B6600F" w14:textId="77777777" w:rsidTr="00B616A4">
        <w:tc>
          <w:tcPr>
            <w:tcW w:w="4957" w:type="dxa"/>
          </w:tcPr>
          <w:p w14:paraId="652BD486" w14:textId="77777777" w:rsidR="00B616A4" w:rsidRPr="004635DE" w:rsidRDefault="00B616A4" w:rsidP="009E4AEF">
            <w:pPr>
              <w:spacing w:after="160"/>
              <w:rPr>
                <w:b/>
                <w:bCs/>
              </w:rPr>
            </w:pPr>
            <w:r w:rsidRPr="004635DE">
              <w:rPr>
                <w:b/>
                <w:bCs/>
              </w:rPr>
              <w:t>Stage of process</w:t>
            </w:r>
          </w:p>
        </w:tc>
        <w:tc>
          <w:tcPr>
            <w:tcW w:w="4677" w:type="dxa"/>
          </w:tcPr>
          <w:p w14:paraId="5D850E17" w14:textId="77777777" w:rsidR="00B616A4" w:rsidRPr="004635DE" w:rsidRDefault="00B616A4" w:rsidP="009E4AEF">
            <w:pPr>
              <w:spacing w:after="160"/>
              <w:rPr>
                <w:b/>
                <w:bCs/>
              </w:rPr>
            </w:pPr>
            <w:r w:rsidRPr="004635DE">
              <w:rPr>
                <w:b/>
                <w:bCs/>
              </w:rPr>
              <w:t>Date</w:t>
            </w:r>
          </w:p>
        </w:tc>
      </w:tr>
      <w:tr w:rsidR="00B616A4" w:rsidRPr="004635DE" w14:paraId="3BC80013" w14:textId="77777777" w:rsidTr="00B616A4">
        <w:tc>
          <w:tcPr>
            <w:tcW w:w="4957" w:type="dxa"/>
          </w:tcPr>
          <w:p w14:paraId="64902AD0" w14:textId="77777777" w:rsidR="00B616A4" w:rsidRPr="004635DE" w:rsidRDefault="00B616A4" w:rsidP="009E4AEF">
            <w:pPr>
              <w:spacing w:after="160"/>
              <w:contextualSpacing/>
              <w:rPr>
                <w:szCs w:val="22"/>
              </w:rPr>
            </w:pPr>
            <w:r w:rsidRPr="004635DE">
              <w:rPr>
                <w:szCs w:val="22"/>
              </w:rPr>
              <w:t>Date ITT Issued</w:t>
            </w:r>
          </w:p>
        </w:tc>
        <w:tc>
          <w:tcPr>
            <w:tcW w:w="4677" w:type="dxa"/>
          </w:tcPr>
          <w:p w14:paraId="09C76813" w14:textId="5CCA41C9" w:rsidR="00B616A4" w:rsidRPr="004635DE" w:rsidRDefault="003D7188" w:rsidP="009E4AEF">
            <w:pPr>
              <w:spacing w:after="160"/>
              <w:rPr>
                <w:szCs w:val="22"/>
              </w:rPr>
            </w:pPr>
            <w:r w:rsidRPr="004635DE">
              <w:rPr>
                <w:szCs w:val="22"/>
              </w:rPr>
              <w:t>Monday 15</w:t>
            </w:r>
            <w:r w:rsidRPr="004635DE">
              <w:rPr>
                <w:szCs w:val="22"/>
                <w:vertAlign w:val="superscript"/>
              </w:rPr>
              <w:t>th</w:t>
            </w:r>
            <w:r w:rsidRPr="004635DE">
              <w:rPr>
                <w:szCs w:val="22"/>
              </w:rPr>
              <w:t xml:space="preserve"> August 2022</w:t>
            </w:r>
          </w:p>
        </w:tc>
      </w:tr>
      <w:tr w:rsidR="00B616A4" w:rsidRPr="004635DE" w14:paraId="56270BA6" w14:textId="77777777" w:rsidTr="00B616A4">
        <w:tc>
          <w:tcPr>
            <w:tcW w:w="4957" w:type="dxa"/>
          </w:tcPr>
          <w:p w14:paraId="02B7B106" w14:textId="77777777" w:rsidR="00B616A4" w:rsidRPr="004635DE" w:rsidRDefault="00B616A4" w:rsidP="009E4AEF">
            <w:pPr>
              <w:spacing w:after="160"/>
              <w:contextualSpacing/>
              <w:rPr>
                <w:szCs w:val="22"/>
              </w:rPr>
            </w:pPr>
            <w:r w:rsidRPr="004635DE">
              <w:rPr>
                <w:szCs w:val="22"/>
              </w:rPr>
              <w:t>Deadline for clarification questions</w:t>
            </w:r>
          </w:p>
        </w:tc>
        <w:tc>
          <w:tcPr>
            <w:tcW w:w="4677" w:type="dxa"/>
          </w:tcPr>
          <w:p w14:paraId="5C0ED7AB" w14:textId="67A2C174" w:rsidR="00B616A4" w:rsidRPr="004635DE" w:rsidRDefault="003D7188" w:rsidP="009E4AEF">
            <w:pPr>
              <w:spacing w:after="160"/>
              <w:rPr>
                <w:szCs w:val="22"/>
              </w:rPr>
            </w:pPr>
            <w:r w:rsidRPr="004635DE">
              <w:rPr>
                <w:szCs w:val="22"/>
              </w:rPr>
              <w:t>Friday 26</w:t>
            </w:r>
            <w:r w:rsidRPr="004635DE">
              <w:rPr>
                <w:szCs w:val="22"/>
                <w:vertAlign w:val="superscript"/>
              </w:rPr>
              <w:t>th</w:t>
            </w:r>
            <w:r w:rsidRPr="004635DE">
              <w:rPr>
                <w:szCs w:val="22"/>
              </w:rPr>
              <w:t xml:space="preserve"> August 2022</w:t>
            </w:r>
          </w:p>
        </w:tc>
      </w:tr>
      <w:tr w:rsidR="00B616A4" w:rsidRPr="004635DE" w14:paraId="44A4360B" w14:textId="77777777" w:rsidTr="00B616A4">
        <w:tc>
          <w:tcPr>
            <w:tcW w:w="4957" w:type="dxa"/>
          </w:tcPr>
          <w:p w14:paraId="32F6CCA0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Deadline for response</w:t>
            </w:r>
          </w:p>
        </w:tc>
        <w:tc>
          <w:tcPr>
            <w:tcW w:w="4677" w:type="dxa"/>
          </w:tcPr>
          <w:p w14:paraId="4114F07D" w14:textId="5386ACC7" w:rsidR="00B616A4" w:rsidRPr="004635DE" w:rsidRDefault="003D7188" w:rsidP="009E4AEF">
            <w:pPr>
              <w:spacing w:after="160"/>
            </w:pPr>
            <w:r w:rsidRPr="004635DE">
              <w:t xml:space="preserve">Friday </w:t>
            </w:r>
            <w:r w:rsidR="000734F2" w:rsidRPr="004635DE">
              <w:t>2</w:t>
            </w:r>
            <w:r w:rsidR="000734F2" w:rsidRPr="004635DE">
              <w:rPr>
                <w:vertAlign w:val="superscript"/>
              </w:rPr>
              <w:t>nd</w:t>
            </w:r>
            <w:r w:rsidR="000734F2" w:rsidRPr="004635DE">
              <w:t xml:space="preserve"> </w:t>
            </w:r>
            <w:r w:rsidR="0026715E" w:rsidRPr="004635DE">
              <w:t xml:space="preserve">September </w:t>
            </w:r>
            <w:r w:rsidR="000734F2" w:rsidRPr="004635DE">
              <w:t>2022</w:t>
            </w:r>
          </w:p>
        </w:tc>
      </w:tr>
      <w:tr w:rsidR="00B616A4" w:rsidRPr="004635DE" w14:paraId="66BB6885" w14:textId="77777777" w:rsidTr="00B616A4">
        <w:tc>
          <w:tcPr>
            <w:tcW w:w="4957" w:type="dxa"/>
          </w:tcPr>
          <w:p w14:paraId="6ABA14D7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Notification of invitation to pitch</w:t>
            </w:r>
          </w:p>
        </w:tc>
        <w:tc>
          <w:tcPr>
            <w:tcW w:w="4677" w:type="dxa"/>
          </w:tcPr>
          <w:p w14:paraId="7FBE7BEE" w14:textId="210C28C8" w:rsidR="00B616A4" w:rsidRPr="004635DE" w:rsidRDefault="00767D99" w:rsidP="009E4AEF">
            <w:pPr>
              <w:spacing w:after="160"/>
            </w:pPr>
            <w:r w:rsidRPr="004635DE">
              <w:t>w/c</w:t>
            </w:r>
            <w:r w:rsidR="001C0674" w:rsidRPr="004635DE">
              <w:t xml:space="preserve"> 5</w:t>
            </w:r>
            <w:r w:rsidR="001C0674" w:rsidRPr="004635DE">
              <w:rPr>
                <w:vertAlign w:val="superscript"/>
              </w:rPr>
              <w:t>th</w:t>
            </w:r>
            <w:r w:rsidR="001C0674" w:rsidRPr="004635DE">
              <w:t xml:space="preserve"> September 2022</w:t>
            </w:r>
          </w:p>
        </w:tc>
      </w:tr>
      <w:tr w:rsidR="00B616A4" w:rsidRPr="004635DE" w14:paraId="12B172B6" w14:textId="77777777" w:rsidTr="00B616A4">
        <w:tc>
          <w:tcPr>
            <w:tcW w:w="4957" w:type="dxa"/>
          </w:tcPr>
          <w:p w14:paraId="3EA5B000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Day of pitch</w:t>
            </w:r>
          </w:p>
        </w:tc>
        <w:tc>
          <w:tcPr>
            <w:tcW w:w="4677" w:type="dxa"/>
          </w:tcPr>
          <w:p w14:paraId="755DC93D" w14:textId="75F78776" w:rsidR="00B616A4" w:rsidRPr="004635DE" w:rsidRDefault="0026715E" w:rsidP="009E4AEF">
            <w:pPr>
              <w:spacing w:after="160"/>
            </w:pPr>
            <w:r w:rsidRPr="004635DE">
              <w:t xml:space="preserve">w/c </w:t>
            </w:r>
            <w:r w:rsidR="001C0674" w:rsidRPr="004635DE">
              <w:t>5</w:t>
            </w:r>
            <w:r w:rsidR="001C0674" w:rsidRPr="004635DE">
              <w:rPr>
                <w:vertAlign w:val="superscript"/>
              </w:rPr>
              <w:t>th</w:t>
            </w:r>
            <w:r w:rsidR="001C0674" w:rsidRPr="004635DE">
              <w:t xml:space="preserve"> September 2022</w:t>
            </w:r>
          </w:p>
        </w:tc>
      </w:tr>
      <w:tr w:rsidR="00B616A4" w:rsidRPr="004635DE" w14:paraId="3B491BBF" w14:textId="77777777" w:rsidTr="00B616A4">
        <w:tc>
          <w:tcPr>
            <w:tcW w:w="4957" w:type="dxa"/>
          </w:tcPr>
          <w:p w14:paraId="3C8A62EB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Notification of intent to award</w:t>
            </w:r>
          </w:p>
        </w:tc>
        <w:tc>
          <w:tcPr>
            <w:tcW w:w="4677" w:type="dxa"/>
          </w:tcPr>
          <w:p w14:paraId="2401B10E" w14:textId="2E187B9A" w:rsidR="00B616A4" w:rsidRPr="004635DE" w:rsidRDefault="001C0674" w:rsidP="009E4AEF">
            <w:pPr>
              <w:spacing w:after="160"/>
            </w:pPr>
            <w:r w:rsidRPr="004635DE">
              <w:t xml:space="preserve">Friday </w:t>
            </w:r>
            <w:r w:rsidR="007C7568" w:rsidRPr="004635DE">
              <w:t>9</w:t>
            </w:r>
            <w:r w:rsidR="007C7568" w:rsidRPr="004635DE">
              <w:rPr>
                <w:vertAlign w:val="superscript"/>
              </w:rPr>
              <w:t>th</w:t>
            </w:r>
            <w:r w:rsidR="007C7568" w:rsidRPr="004635DE">
              <w:t xml:space="preserve"> September 2022</w:t>
            </w:r>
          </w:p>
        </w:tc>
      </w:tr>
      <w:tr w:rsidR="00B616A4" w:rsidRPr="004635DE" w14:paraId="09CB3C84" w14:textId="77777777" w:rsidTr="00B616A4">
        <w:tc>
          <w:tcPr>
            <w:tcW w:w="4957" w:type="dxa"/>
          </w:tcPr>
          <w:p w14:paraId="7EBA338B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Contract start date</w:t>
            </w:r>
          </w:p>
        </w:tc>
        <w:tc>
          <w:tcPr>
            <w:tcW w:w="4677" w:type="dxa"/>
          </w:tcPr>
          <w:p w14:paraId="48584E70" w14:textId="3E699E47" w:rsidR="00B616A4" w:rsidRPr="004635DE" w:rsidRDefault="00B616A4" w:rsidP="009E4AEF">
            <w:pPr>
              <w:spacing w:after="160"/>
            </w:pPr>
            <w:r w:rsidRPr="004635DE">
              <w:t>September 2022</w:t>
            </w:r>
          </w:p>
        </w:tc>
      </w:tr>
      <w:tr w:rsidR="00B616A4" w14:paraId="4D00B79B" w14:textId="77777777" w:rsidTr="00B616A4">
        <w:tc>
          <w:tcPr>
            <w:tcW w:w="4957" w:type="dxa"/>
          </w:tcPr>
          <w:p w14:paraId="54DD3E23" w14:textId="77777777" w:rsidR="00B616A4" w:rsidRPr="004635DE" w:rsidRDefault="00B616A4" w:rsidP="009E4AEF">
            <w:pPr>
              <w:spacing w:after="160"/>
              <w:contextualSpacing/>
            </w:pPr>
            <w:r w:rsidRPr="004635DE">
              <w:t>Contract end date</w:t>
            </w:r>
          </w:p>
        </w:tc>
        <w:tc>
          <w:tcPr>
            <w:tcW w:w="4677" w:type="dxa"/>
          </w:tcPr>
          <w:p w14:paraId="46A5A8AB" w14:textId="38227F80" w:rsidR="00B616A4" w:rsidRPr="004635DE" w:rsidRDefault="00B616A4" w:rsidP="009E4AEF">
            <w:pPr>
              <w:spacing w:after="160"/>
            </w:pPr>
            <w:r w:rsidRPr="004635DE">
              <w:t>March 31</w:t>
            </w:r>
            <w:r w:rsidRPr="004635DE">
              <w:rPr>
                <w:vertAlign w:val="superscript"/>
              </w:rPr>
              <w:t>st</w:t>
            </w:r>
            <w:r w:rsidRPr="004635DE">
              <w:t xml:space="preserve"> 2028</w:t>
            </w:r>
          </w:p>
        </w:tc>
      </w:tr>
    </w:tbl>
    <w:p w14:paraId="4324E4FD" w14:textId="77777777" w:rsidR="00950A34" w:rsidRDefault="00BD66B7" w:rsidP="00A348BF">
      <w:pPr>
        <w:pStyle w:val="GreenHeading1"/>
        <w:spacing w:after="160"/>
        <w:contextualSpacing/>
        <w:rPr>
          <w:sz w:val="40"/>
          <w:szCs w:val="40"/>
        </w:rPr>
      </w:pPr>
      <w:r>
        <w:rPr>
          <w:b w:val="0"/>
          <w:sz w:val="22"/>
          <w:szCs w:val="22"/>
        </w:rPr>
        <w:br/>
      </w:r>
    </w:p>
    <w:p w14:paraId="1541F926" w14:textId="77777777" w:rsidR="00950A34" w:rsidRDefault="00950A34">
      <w:pPr>
        <w:spacing w:after="0" w:line="240" w:lineRule="auto"/>
        <w:rPr>
          <w:rFonts w:asciiTheme="majorHAnsi" w:eastAsiaTheme="majorEastAsia" w:hAnsiTheme="majorHAnsi" w:cstheme="majorBidi"/>
          <w:b/>
          <w:bCs/>
          <w:noProof/>
          <w:color w:val="3CB28C" w:themeColor="text1"/>
          <w:sz w:val="40"/>
          <w:szCs w:val="40"/>
        </w:rPr>
      </w:pPr>
      <w:r>
        <w:rPr>
          <w:sz w:val="40"/>
          <w:szCs w:val="40"/>
        </w:rPr>
        <w:br w:type="page"/>
      </w:r>
    </w:p>
    <w:p w14:paraId="2755C248" w14:textId="679E786A" w:rsidR="00A348BF" w:rsidRPr="007A4669" w:rsidRDefault="00A348BF" w:rsidP="00A348BF">
      <w:pPr>
        <w:pStyle w:val="GreenHeading1"/>
        <w:spacing w:after="160"/>
        <w:contextualSpacing/>
        <w:rPr>
          <w:sz w:val="40"/>
          <w:szCs w:val="40"/>
        </w:rPr>
      </w:pPr>
      <w:r w:rsidRPr="007A4669">
        <w:rPr>
          <w:sz w:val="40"/>
          <w:szCs w:val="40"/>
        </w:rPr>
        <w:lastRenderedPageBreak/>
        <w:t xml:space="preserve">Tender </w:t>
      </w:r>
      <w:r w:rsidR="00A4688F">
        <w:rPr>
          <w:sz w:val="40"/>
          <w:szCs w:val="40"/>
        </w:rPr>
        <w:t>R</w:t>
      </w:r>
      <w:r w:rsidRPr="007A4669">
        <w:rPr>
          <w:sz w:val="40"/>
          <w:szCs w:val="40"/>
        </w:rPr>
        <w:t xml:space="preserve">esponse </w:t>
      </w:r>
      <w:r w:rsidR="00A4688F">
        <w:rPr>
          <w:sz w:val="40"/>
          <w:szCs w:val="40"/>
        </w:rPr>
        <w:t>F</w:t>
      </w:r>
      <w:r w:rsidRPr="007A4669">
        <w:rPr>
          <w:sz w:val="40"/>
          <w:szCs w:val="40"/>
        </w:rPr>
        <w:t>ormat</w:t>
      </w:r>
    </w:p>
    <w:p w14:paraId="200B0F16" w14:textId="77777777" w:rsidR="00A348BF" w:rsidRPr="004635DE" w:rsidRDefault="00A348BF" w:rsidP="00A348BF">
      <w:pPr>
        <w:pStyle w:val="BodyText"/>
        <w:spacing w:after="160"/>
        <w:ind w:left="0"/>
        <w:rPr>
          <w:rFonts w:cs="Arial"/>
          <w:lang w:val="en-GB"/>
        </w:rPr>
      </w:pPr>
      <w:r w:rsidRPr="1DE29D4B">
        <w:rPr>
          <w:lang w:val="en-GB"/>
        </w:rPr>
        <w:t xml:space="preserve">Please </w:t>
      </w:r>
      <w:r>
        <w:rPr>
          <w:lang w:val="en-GB"/>
        </w:rPr>
        <w:t xml:space="preserve">submit your </w:t>
      </w:r>
      <w:r w:rsidRPr="004635DE">
        <w:rPr>
          <w:lang w:val="en-GB"/>
        </w:rPr>
        <w:t xml:space="preserve">response to </w:t>
      </w:r>
      <w:hyperlink r:id="rId22" w:history="1">
        <w:r w:rsidRPr="004635DE">
          <w:rPr>
            <w:rStyle w:val="Hyperlink"/>
            <w:lang w:val="en-GB"/>
          </w:rPr>
          <w:t>procurement@hdruk.ac.uk</w:t>
        </w:r>
      </w:hyperlink>
      <w:r w:rsidRPr="004635DE">
        <w:rPr>
          <w:lang w:val="en-GB"/>
        </w:rPr>
        <w:t xml:space="preserve"> by </w:t>
      </w:r>
      <w:r w:rsidRPr="004635DE">
        <w:rPr>
          <w:b/>
          <w:bCs/>
          <w:lang w:val="en-GB"/>
        </w:rPr>
        <w:t>17:00 BST on Friday 2</w:t>
      </w:r>
      <w:r w:rsidRPr="004635DE">
        <w:rPr>
          <w:b/>
          <w:bCs/>
          <w:vertAlign w:val="superscript"/>
          <w:lang w:val="en-GB"/>
        </w:rPr>
        <w:t>nd</w:t>
      </w:r>
      <w:r w:rsidRPr="004635DE">
        <w:rPr>
          <w:b/>
          <w:bCs/>
          <w:lang w:val="en-GB"/>
        </w:rPr>
        <w:t xml:space="preserve"> September 2022</w:t>
      </w:r>
      <w:r w:rsidRPr="004635DE">
        <w:rPr>
          <w:lang w:val="en-GB"/>
        </w:rPr>
        <w:t>.</w:t>
      </w:r>
    </w:p>
    <w:p w14:paraId="634E8B0B" w14:textId="77777777" w:rsidR="00A348BF" w:rsidRPr="007629F8" w:rsidRDefault="00A348BF" w:rsidP="00A348BF">
      <w:pPr>
        <w:pStyle w:val="BodyText"/>
        <w:spacing w:after="160"/>
        <w:ind w:left="0"/>
        <w:rPr>
          <w:lang w:val="en-GB"/>
        </w:rPr>
      </w:pPr>
      <w:bookmarkStart w:id="1" w:name="_Hlk85019211"/>
      <w:r w:rsidRPr="004635DE">
        <w:rPr>
          <w:lang w:val="en-GB"/>
        </w:rPr>
        <w:t xml:space="preserve">If you have any questions before submitting your response, please send to </w:t>
      </w:r>
      <w:hyperlink r:id="rId23" w:history="1">
        <w:r w:rsidRPr="004635DE">
          <w:rPr>
            <w:rStyle w:val="Hyperlink"/>
            <w:lang w:val="en-GB"/>
          </w:rPr>
          <w:t>procurement@hdruk.ac.uk</w:t>
        </w:r>
      </w:hyperlink>
      <w:r w:rsidRPr="004635DE">
        <w:rPr>
          <w:lang w:val="en-GB"/>
        </w:rPr>
        <w:t xml:space="preserve">  no later than </w:t>
      </w:r>
      <w:r w:rsidRPr="004635DE">
        <w:rPr>
          <w:b/>
          <w:bCs/>
          <w:lang w:val="en-GB"/>
        </w:rPr>
        <w:t>17:00 BST on Friday 26</w:t>
      </w:r>
      <w:r w:rsidRPr="004635DE">
        <w:rPr>
          <w:b/>
          <w:bCs/>
          <w:vertAlign w:val="superscript"/>
          <w:lang w:val="en-GB"/>
        </w:rPr>
        <w:t>th</w:t>
      </w:r>
      <w:r w:rsidRPr="004635DE">
        <w:rPr>
          <w:b/>
          <w:bCs/>
          <w:lang w:val="en-GB"/>
        </w:rPr>
        <w:t xml:space="preserve"> August</w:t>
      </w:r>
      <w:r w:rsidRPr="004635DE">
        <w:rPr>
          <w:lang w:val="en-GB"/>
        </w:rPr>
        <w:t xml:space="preserve"> – the deadline</w:t>
      </w:r>
      <w:r>
        <w:rPr>
          <w:lang w:val="en-GB"/>
        </w:rPr>
        <w:t xml:space="preserve"> for clarification questions.</w:t>
      </w:r>
    </w:p>
    <w:p w14:paraId="42AEB13B" w14:textId="77777777" w:rsidR="00A348BF" w:rsidRDefault="00A348BF" w:rsidP="00A348BF">
      <w:pPr>
        <w:pStyle w:val="BodyText"/>
        <w:spacing w:after="160"/>
        <w:ind w:left="0"/>
        <w:contextualSpacing/>
        <w:rPr>
          <w:b/>
          <w:bCs/>
          <w:lang w:val="en-GB"/>
        </w:rPr>
      </w:pPr>
      <w:r w:rsidRPr="00641ABA">
        <w:rPr>
          <w:b/>
          <w:bCs/>
          <w:lang w:val="en-GB"/>
        </w:rPr>
        <w:t xml:space="preserve">A </w:t>
      </w:r>
      <w:r>
        <w:rPr>
          <w:b/>
          <w:bCs/>
          <w:lang w:val="en-GB"/>
        </w:rPr>
        <w:t>complete response will comprise:</w:t>
      </w:r>
    </w:p>
    <w:p w14:paraId="42D1FA74" w14:textId="77777777" w:rsidR="00A348BF" w:rsidRPr="00022148" w:rsidRDefault="00A348BF" w:rsidP="00A348BF">
      <w:pPr>
        <w:pStyle w:val="BodyText"/>
        <w:numPr>
          <w:ilvl w:val="0"/>
          <w:numId w:val="44"/>
        </w:numPr>
        <w:spacing w:after="160"/>
        <w:contextualSpacing/>
        <w:rPr>
          <w:lang w:val="en-GB"/>
        </w:rPr>
      </w:pPr>
      <w:r>
        <w:rPr>
          <w:b/>
          <w:bCs/>
          <w:lang w:val="en-GB"/>
        </w:rPr>
        <w:t>A complete Response Template (Appendix 1 below)</w:t>
      </w:r>
      <w:r w:rsidRPr="00641ABA">
        <w:rPr>
          <w:b/>
          <w:bCs/>
          <w:lang w:val="en-GB"/>
        </w:rPr>
        <w:t xml:space="preserve"> </w:t>
      </w:r>
    </w:p>
    <w:p w14:paraId="0C81FBB3" w14:textId="77777777" w:rsidR="00A348BF" w:rsidRPr="00022148" w:rsidRDefault="00A348BF" w:rsidP="00A348BF">
      <w:pPr>
        <w:pStyle w:val="BodyText"/>
        <w:numPr>
          <w:ilvl w:val="0"/>
          <w:numId w:val="44"/>
        </w:numPr>
        <w:spacing w:after="160"/>
        <w:contextualSpacing/>
        <w:rPr>
          <w:b/>
          <w:bCs/>
          <w:lang w:val="en-GB"/>
        </w:rPr>
      </w:pPr>
      <w:r w:rsidRPr="00022148">
        <w:rPr>
          <w:b/>
          <w:bCs/>
        </w:rPr>
        <w:t xml:space="preserve">Where requested, separate attachments, clearly labelled with supplier name and </w:t>
      </w:r>
      <w:r>
        <w:rPr>
          <w:b/>
          <w:bCs/>
        </w:rPr>
        <w:t xml:space="preserve">the specific </w:t>
      </w:r>
      <w:r w:rsidRPr="00022148">
        <w:rPr>
          <w:b/>
          <w:bCs/>
        </w:rPr>
        <w:t>requirement reference</w:t>
      </w:r>
    </w:p>
    <w:p w14:paraId="71A1C769" w14:textId="77777777" w:rsidR="00A348BF" w:rsidRPr="00201911" w:rsidRDefault="00A348BF" w:rsidP="00A348BF">
      <w:pPr>
        <w:pStyle w:val="BodyText"/>
        <w:numPr>
          <w:ilvl w:val="0"/>
          <w:numId w:val="44"/>
        </w:numPr>
        <w:spacing w:after="160"/>
        <w:contextualSpacing/>
        <w:rPr>
          <w:lang w:val="en-GB"/>
        </w:rPr>
      </w:pPr>
      <w:r>
        <w:rPr>
          <w:b/>
          <w:bCs/>
          <w:lang w:val="en-GB"/>
        </w:rPr>
        <w:t xml:space="preserve">Submission in a single compressed, .zip file clearly labelled with the </w:t>
      </w:r>
      <w:r w:rsidRPr="00022148">
        <w:rPr>
          <w:b/>
          <w:bCs/>
          <w:lang w:val="en-GB"/>
        </w:rPr>
        <w:t>supplier’s name</w:t>
      </w:r>
      <w:r w:rsidRPr="00201911">
        <w:rPr>
          <w:lang w:val="en-GB"/>
        </w:rPr>
        <w:t>.</w:t>
      </w:r>
    </w:p>
    <w:bookmarkEnd w:id="1"/>
    <w:p w14:paraId="4027B208" w14:textId="6CD1F6FC" w:rsidR="002555CA" w:rsidRPr="00ED423D" w:rsidRDefault="002555CA" w:rsidP="00ED423D">
      <w:pPr>
        <w:pStyle w:val="GreenHeading1"/>
        <w:spacing w:after="160"/>
        <w:contextualSpacing/>
        <w:rPr>
          <w:sz w:val="40"/>
          <w:szCs w:val="40"/>
        </w:rPr>
      </w:pPr>
      <w:r w:rsidRPr="007A4669">
        <w:rPr>
          <w:sz w:val="40"/>
          <w:szCs w:val="40"/>
        </w:rPr>
        <w:t xml:space="preserve">Selection </w:t>
      </w:r>
      <w:r w:rsidR="00A4688F">
        <w:rPr>
          <w:sz w:val="40"/>
          <w:szCs w:val="40"/>
        </w:rPr>
        <w:t>C</w:t>
      </w:r>
      <w:r w:rsidRPr="007A4669">
        <w:rPr>
          <w:sz w:val="40"/>
          <w:szCs w:val="40"/>
        </w:rPr>
        <w:t>riteria</w:t>
      </w:r>
    </w:p>
    <w:p w14:paraId="641E95D1" w14:textId="3F628590" w:rsidR="00542DB0" w:rsidRDefault="00BD381E" w:rsidP="00883725">
      <w:pPr>
        <w:spacing w:after="160" w:line="240" w:lineRule="auto"/>
        <w:rPr>
          <w:rFonts w:ascii="Calibri" w:eastAsia="Calibri" w:hAnsi="Calibri" w:cs="Calibri"/>
          <w:szCs w:val="22"/>
        </w:rPr>
      </w:pPr>
      <w:r w:rsidRPr="00BD381E">
        <w:rPr>
          <w:color w:val="auto"/>
        </w:rPr>
        <w:t>Suppliers will be selected based upon the following criteria</w:t>
      </w:r>
      <w:r w:rsidR="00883725">
        <w:rPr>
          <w:color w:val="auto"/>
        </w:rPr>
        <w:t xml:space="preserve">.  </w:t>
      </w:r>
      <w:r w:rsidR="00542DB0" w:rsidRPr="1DCBBCD5">
        <w:rPr>
          <w:rFonts w:ascii="Calibri" w:eastAsia="Calibri" w:hAnsi="Calibri" w:cs="Calibri"/>
          <w:szCs w:val="22"/>
        </w:rPr>
        <w:t>Suppliers should be able to demonstrate:</w:t>
      </w:r>
    </w:p>
    <w:p w14:paraId="0466674B" w14:textId="41AABE67" w:rsidR="00542DB0" w:rsidRDefault="00542DB0" w:rsidP="00542DB0">
      <w:pPr>
        <w:pStyle w:val="ListParagraph"/>
        <w:numPr>
          <w:ilvl w:val="0"/>
          <w:numId w:val="42"/>
        </w:numPr>
        <w:rPr>
          <w:szCs w:val="22"/>
        </w:rPr>
      </w:pPr>
      <w:r w:rsidRPr="09CB22FA">
        <w:rPr>
          <w:rFonts w:ascii="Calibri" w:eastAsia="Calibri" w:hAnsi="Calibri" w:cs="Calibri"/>
        </w:rPr>
        <w:t xml:space="preserve">A good understanding of HDR UK’s </w:t>
      </w:r>
      <w:proofErr w:type="gramStart"/>
      <w:r w:rsidRPr="09CB22FA">
        <w:rPr>
          <w:rFonts w:ascii="Calibri" w:eastAsia="Calibri" w:hAnsi="Calibri" w:cs="Calibri"/>
        </w:rPr>
        <w:t>work, and</w:t>
      </w:r>
      <w:proofErr w:type="gramEnd"/>
      <w:r w:rsidRPr="09CB22FA">
        <w:rPr>
          <w:rFonts w:ascii="Calibri" w:eastAsia="Calibri" w:hAnsi="Calibri" w:cs="Calibri"/>
        </w:rPr>
        <w:t xml:space="preserve"> be able to communicate this in a concise and clear way that is accessible to the public.</w:t>
      </w:r>
    </w:p>
    <w:p w14:paraId="67955F17" w14:textId="0E51C3FA" w:rsidR="00542DB0" w:rsidRDefault="00542DB0" w:rsidP="00542DB0">
      <w:pPr>
        <w:pStyle w:val="ListParagraph"/>
        <w:numPr>
          <w:ilvl w:val="0"/>
          <w:numId w:val="42"/>
        </w:numPr>
        <w:rPr>
          <w:szCs w:val="22"/>
        </w:rPr>
      </w:pPr>
      <w:r w:rsidRPr="124F0A28">
        <w:rPr>
          <w:rFonts w:ascii="Calibri" w:eastAsia="Calibri" w:hAnsi="Calibri" w:cs="Calibri"/>
          <w:color w:val="3B3B3B"/>
          <w:szCs w:val="22"/>
        </w:rPr>
        <w:t xml:space="preserve">Experience </w:t>
      </w:r>
      <w:r w:rsidR="000376DE">
        <w:rPr>
          <w:rFonts w:ascii="Calibri" w:eastAsia="Calibri" w:hAnsi="Calibri" w:cs="Calibri"/>
          <w:color w:val="3B3B3B"/>
          <w:szCs w:val="22"/>
        </w:rPr>
        <w:t xml:space="preserve">of, </w:t>
      </w:r>
      <w:r w:rsidR="00B474AC">
        <w:rPr>
          <w:rFonts w:ascii="Calibri" w:eastAsia="Calibri" w:hAnsi="Calibri" w:cs="Calibri"/>
          <w:color w:val="3B3B3B"/>
          <w:szCs w:val="22"/>
        </w:rPr>
        <w:t xml:space="preserve">and ability </w:t>
      </w:r>
      <w:r w:rsidR="000376DE">
        <w:rPr>
          <w:rFonts w:ascii="Calibri" w:eastAsia="Calibri" w:hAnsi="Calibri" w:cs="Calibri"/>
          <w:color w:val="3B3B3B"/>
          <w:szCs w:val="22"/>
        </w:rPr>
        <w:t xml:space="preserve">to, </w:t>
      </w:r>
      <w:r w:rsidRPr="124F0A28">
        <w:rPr>
          <w:rFonts w:ascii="Calibri" w:eastAsia="Calibri" w:hAnsi="Calibri" w:cs="Calibri"/>
          <w:color w:val="3B3B3B"/>
          <w:szCs w:val="22"/>
        </w:rPr>
        <w:t>produc</w:t>
      </w:r>
      <w:r w:rsidR="000376DE">
        <w:rPr>
          <w:rFonts w:ascii="Calibri" w:eastAsia="Calibri" w:hAnsi="Calibri" w:cs="Calibri"/>
          <w:color w:val="3B3B3B"/>
          <w:szCs w:val="22"/>
        </w:rPr>
        <w:t>e</w:t>
      </w:r>
      <w:r w:rsidRPr="124F0A28">
        <w:rPr>
          <w:rFonts w:ascii="Calibri" w:eastAsia="Calibri" w:hAnsi="Calibri" w:cs="Calibri"/>
          <w:color w:val="3B3B3B"/>
          <w:szCs w:val="22"/>
        </w:rPr>
        <w:t xml:space="preserve"> content </w:t>
      </w:r>
      <w:proofErr w:type="gramStart"/>
      <w:r w:rsidRPr="124F0A28">
        <w:rPr>
          <w:rFonts w:ascii="Calibri" w:eastAsia="Calibri" w:hAnsi="Calibri" w:cs="Calibri"/>
          <w:color w:val="3B3B3B"/>
          <w:szCs w:val="22"/>
        </w:rPr>
        <w:t>similar to</w:t>
      </w:r>
      <w:proofErr w:type="gramEnd"/>
      <w:r w:rsidRPr="124F0A28">
        <w:rPr>
          <w:rFonts w:ascii="Calibri" w:eastAsia="Calibri" w:hAnsi="Calibri" w:cs="Calibri"/>
          <w:color w:val="3B3B3B"/>
          <w:szCs w:val="22"/>
        </w:rPr>
        <w:t xml:space="preserve"> that listed under ‘scope of the work’ for HDR UK or another relevant organisation in the health and research sector. This includes the ability to take highly scientific and/or technical material and producing high quality, accurate and engaging content for different </w:t>
      </w:r>
      <w:r w:rsidR="000376DE">
        <w:rPr>
          <w:rFonts w:ascii="Calibri" w:eastAsia="Calibri" w:hAnsi="Calibri" w:cs="Calibri"/>
          <w:color w:val="3B3B3B"/>
          <w:szCs w:val="22"/>
        </w:rPr>
        <w:t xml:space="preserve">and lay </w:t>
      </w:r>
      <w:r w:rsidRPr="124F0A28">
        <w:rPr>
          <w:rFonts w:ascii="Calibri" w:eastAsia="Calibri" w:hAnsi="Calibri" w:cs="Calibri"/>
          <w:color w:val="3B3B3B"/>
          <w:szCs w:val="22"/>
        </w:rPr>
        <w:t xml:space="preserve">audiences – including researchers, academics, technologists, and </w:t>
      </w:r>
      <w:r w:rsidR="000376DE">
        <w:rPr>
          <w:rFonts w:ascii="Calibri" w:eastAsia="Calibri" w:hAnsi="Calibri" w:cs="Calibri"/>
          <w:color w:val="3B3B3B"/>
          <w:szCs w:val="22"/>
        </w:rPr>
        <w:t xml:space="preserve">the </w:t>
      </w:r>
      <w:r w:rsidRPr="124F0A28">
        <w:rPr>
          <w:rFonts w:ascii="Calibri" w:eastAsia="Calibri" w:hAnsi="Calibri" w:cs="Calibri"/>
          <w:color w:val="3B3B3B"/>
          <w:szCs w:val="22"/>
        </w:rPr>
        <w:t>public</w:t>
      </w:r>
      <w:r w:rsidR="000376DE">
        <w:rPr>
          <w:rFonts w:ascii="Calibri" w:eastAsia="Calibri" w:hAnsi="Calibri" w:cs="Calibri"/>
          <w:color w:val="3B3B3B"/>
          <w:szCs w:val="22"/>
        </w:rPr>
        <w:t>.</w:t>
      </w:r>
    </w:p>
    <w:p w14:paraId="686DF40F" w14:textId="2F443618" w:rsidR="00542DB0" w:rsidRDefault="00542DB0" w:rsidP="00542DB0">
      <w:pPr>
        <w:pStyle w:val="ListParagraph"/>
        <w:numPr>
          <w:ilvl w:val="0"/>
          <w:numId w:val="42"/>
        </w:numPr>
        <w:spacing w:after="0"/>
        <w:rPr>
          <w:color w:val="3B3B3B"/>
          <w:szCs w:val="22"/>
        </w:rPr>
      </w:pPr>
      <w:r w:rsidRPr="124F0A28">
        <w:rPr>
          <w:rFonts w:ascii="Calibri" w:eastAsia="Calibri" w:hAnsi="Calibri" w:cs="Calibri"/>
          <w:color w:val="3B3B3B"/>
          <w:szCs w:val="22"/>
        </w:rPr>
        <w:t xml:space="preserve">A track record of working with scientists to understand the basis for their work, delivering interviews, writing </w:t>
      </w:r>
      <w:proofErr w:type="gramStart"/>
      <w:r w:rsidRPr="124F0A28">
        <w:rPr>
          <w:rFonts w:ascii="Calibri" w:eastAsia="Calibri" w:hAnsi="Calibri" w:cs="Calibri"/>
          <w:color w:val="3B3B3B"/>
          <w:szCs w:val="22"/>
        </w:rPr>
        <w:t>copy</w:t>
      </w:r>
      <w:proofErr w:type="gramEnd"/>
      <w:r w:rsidRPr="124F0A28">
        <w:rPr>
          <w:rFonts w:ascii="Calibri" w:eastAsia="Calibri" w:hAnsi="Calibri" w:cs="Calibri"/>
          <w:color w:val="3B3B3B"/>
          <w:szCs w:val="22"/>
        </w:rPr>
        <w:t xml:space="preserve"> and ensuring sign off/approvals</w:t>
      </w:r>
      <w:r w:rsidR="008517F4">
        <w:rPr>
          <w:rFonts w:ascii="Calibri" w:eastAsia="Calibri" w:hAnsi="Calibri" w:cs="Calibri"/>
          <w:color w:val="3B3B3B"/>
          <w:szCs w:val="22"/>
        </w:rPr>
        <w:t>.</w:t>
      </w:r>
    </w:p>
    <w:p w14:paraId="6C5B9CA1" w14:textId="50AC4FEF" w:rsidR="007F4480" w:rsidRPr="007F4480" w:rsidRDefault="00542DB0" w:rsidP="007F4480">
      <w:pPr>
        <w:pStyle w:val="ListParagraph"/>
        <w:numPr>
          <w:ilvl w:val="0"/>
          <w:numId w:val="42"/>
        </w:numPr>
        <w:rPr>
          <w:szCs w:val="22"/>
        </w:rPr>
      </w:pPr>
      <w:r w:rsidRPr="09CB22FA">
        <w:rPr>
          <w:rFonts w:ascii="Calibri" w:eastAsia="Calibri" w:hAnsi="Calibri" w:cs="Calibri"/>
          <w:color w:val="3B3B3B"/>
          <w:szCs w:val="22"/>
        </w:rPr>
        <w:t>The ability to deliver work on time and to brief, even if requested at short notice.</w:t>
      </w:r>
    </w:p>
    <w:p w14:paraId="7D836F45" w14:textId="77777777" w:rsidR="007F4480" w:rsidRPr="00E030F5" w:rsidRDefault="007F4480" w:rsidP="00E030F5">
      <w:pPr>
        <w:spacing w:after="0"/>
        <w:ind w:left="357"/>
        <w:rPr>
          <w:szCs w:val="22"/>
        </w:rPr>
      </w:pPr>
    </w:p>
    <w:tbl>
      <w:tblPr>
        <w:tblStyle w:val="TableGrid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16"/>
      </w:tblGrid>
      <w:tr w:rsidR="00ED423D" w:rsidRPr="003C537C" w14:paraId="54111274" w14:textId="77777777" w:rsidTr="009E4AEF">
        <w:tc>
          <w:tcPr>
            <w:tcW w:w="9543" w:type="dxa"/>
            <w:gridSpan w:val="2"/>
          </w:tcPr>
          <w:p w14:paraId="5C0201EF" w14:textId="25904B06" w:rsidR="00ED423D" w:rsidRPr="003C537C" w:rsidRDefault="00B713D3" w:rsidP="009E4AEF">
            <w:pPr>
              <w:spacing w:before="120" w:line="240" w:lineRule="auto"/>
              <w:rPr>
                <w:b/>
                <w:bCs/>
              </w:rPr>
            </w:pPr>
            <w:r w:rsidRPr="003C537C">
              <w:rPr>
                <w:b/>
                <w:bCs/>
              </w:rPr>
              <w:t>HDR UK</w:t>
            </w:r>
            <w:r w:rsidR="00ED423D" w:rsidRPr="003C537C">
              <w:rPr>
                <w:b/>
                <w:bCs/>
              </w:rPr>
              <w:t xml:space="preserve"> ITT </w:t>
            </w:r>
            <w:r w:rsidRPr="003C537C">
              <w:rPr>
                <w:b/>
                <w:bCs/>
              </w:rPr>
              <w:t>Freelance Copywrit</w:t>
            </w:r>
            <w:r w:rsidR="007703A2" w:rsidRPr="003C537C">
              <w:rPr>
                <w:b/>
                <w:bCs/>
              </w:rPr>
              <w:t xml:space="preserve">ing Support </w:t>
            </w:r>
            <w:r w:rsidR="00ED423D" w:rsidRPr="003C537C">
              <w:rPr>
                <w:b/>
                <w:bCs/>
              </w:rPr>
              <w:t>Selection Criteria Weightings</w:t>
            </w:r>
          </w:p>
        </w:tc>
      </w:tr>
      <w:tr w:rsidR="00ED423D" w:rsidRPr="003C537C" w14:paraId="6C8A4F1E" w14:textId="77777777" w:rsidTr="009E4AEF">
        <w:tc>
          <w:tcPr>
            <w:tcW w:w="7927" w:type="dxa"/>
          </w:tcPr>
          <w:p w14:paraId="2DFDC3CF" w14:textId="77777777" w:rsidR="00ED423D" w:rsidRPr="003C537C" w:rsidRDefault="00ED423D" w:rsidP="009E4AEF">
            <w:pPr>
              <w:spacing w:before="120" w:line="240" w:lineRule="auto"/>
              <w:rPr>
                <w:b/>
                <w:bCs/>
              </w:rPr>
            </w:pPr>
            <w:r w:rsidRPr="003C537C">
              <w:rPr>
                <w:b/>
                <w:bCs/>
              </w:rPr>
              <w:t>Requirement</w:t>
            </w:r>
          </w:p>
        </w:tc>
        <w:tc>
          <w:tcPr>
            <w:tcW w:w="1616" w:type="dxa"/>
          </w:tcPr>
          <w:p w14:paraId="7B4DA39A" w14:textId="77777777" w:rsidR="00ED423D" w:rsidRPr="003C537C" w:rsidRDefault="00ED423D" w:rsidP="009E4AEF">
            <w:pPr>
              <w:spacing w:before="120" w:line="240" w:lineRule="auto"/>
              <w:jc w:val="center"/>
              <w:rPr>
                <w:b/>
                <w:bCs/>
              </w:rPr>
            </w:pPr>
            <w:r w:rsidRPr="003C537C">
              <w:rPr>
                <w:b/>
                <w:bCs/>
              </w:rPr>
              <w:t>Weighting</w:t>
            </w:r>
          </w:p>
        </w:tc>
      </w:tr>
      <w:tr w:rsidR="00ED423D" w:rsidRPr="003C537C" w14:paraId="66B7DDF5" w14:textId="77777777" w:rsidTr="009E4AEF">
        <w:tc>
          <w:tcPr>
            <w:tcW w:w="7927" w:type="dxa"/>
          </w:tcPr>
          <w:p w14:paraId="110A1BA0" w14:textId="5F055453" w:rsidR="00ED423D" w:rsidRPr="003C537C" w:rsidRDefault="00ED423D" w:rsidP="009E4AEF">
            <w:pPr>
              <w:spacing w:before="120" w:line="240" w:lineRule="auto"/>
            </w:pPr>
            <w:r w:rsidRPr="003C537C">
              <w:t>1.</w:t>
            </w:r>
            <w:r w:rsidR="00B65C23" w:rsidRPr="003C537C">
              <w:t>1</w:t>
            </w:r>
            <w:r w:rsidRPr="003C537C">
              <w:t xml:space="preserve"> </w:t>
            </w:r>
            <w:r w:rsidR="00B65C23" w:rsidRPr="003C537C">
              <w:t>Supplier Details</w:t>
            </w:r>
          </w:p>
        </w:tc>
        <w:tc>
          <w:tcPr>
            <w:tcW w:w="1616" w:type="dxa"/>
          </w:tcPr>
          <w:p w14:paraId="4BD287FD" w14:textId="77777777" w:rsidR="00ED423D" w:rsidRPr="003C537C" w:rsidRDefault="00ED423D" w:rsidP="009E4AEF">
            <w:pPr>
              <w:spacing w:before="120" w:line="240" w:lineRule="auto"/>
              <w:jc w:val="center"/>
            </w:pPr>
            <w:r w:rsidRPr="003C537C">
              <w:t>PASS/REJECTED</w:t>
            </w:r>
          </w:p>
        </w:tc>
      </w:tr>
      <w:tr w:rsidR="00ED423D" w:rsidRPr="003C537C" w14:paraId="770DDE82" w14:textId="77777777" w:rsidTr="009E4AEF">
        <w:tc>
          <w:tcPr>
            <w:tcW w:w="7927" w:type="dxa"/>
          </w:tcPr>
          <w:p w14:paraId="36CAF32B" w14:textId="1FEC6716" w:rsidR="00ED423D" w:rsidRPr="003C537C" w:rsidRDefault="00ED423D" w:rsidP="009E4AEF">
            <w:pPr>
              <w:spacing w:before="120" w:line="240" w:lineRule="auto"/>
            </w:pPr>
            <w:r w:rsidRPr="003C537C">
              <w:t xml:space="preserve">2.1 </w:t>
            </w:r>
            <w:r w:rsidR="0009390F" w:rsidRPr="003C537C">
              <w:t>Applicant’s</w:t>
            </w:r>
            <w:r w:rsidR="00C1644D" w:rsidRPr="003C537C">
              <w:rPr>
                <w:rFonts w:ascii="Calibri" w:eastAsia="Calibri" w:hAnsi="Calibri" w:cs="Calibri"/>
                <w:szCs w:val="22"/>
              </w:rPr>
              <w:t xml:space="preserve"> understanding of HDR UK’s work and its’ strategy</w:t>
            </w:r>
          </w:p>
        </w:tc>
        <w:tc>
          <w:tcPr>
            <w:tcW w:w="1616" w:type="dxa"/>
          </w:tcPr>
          <w:p w14:paraId="22DF996E" w14:textId="1FB4857F" w:rsidR="00ED423D" w:rsidRPr="003C537C" w:rsidRDefault="00252DA0" w:rsidP="009E4AEF">
            <w:pPr>
              <w:spacing w:before="120" w:line="240" w:lineRule="auto"/>
              <w:jc w:val="center"/>
            </w:pPr>
            <w:r w:rsidRPr="003C537C">
              <w:t>10%</w:t>
            </w:r>
          </w:p>
        </w:tc>
      </w:tr>
      <w:tr w:rsidR="00ED423D" w:rsidRPr="003C537C" w14:paraId="0EFC5818" w14:textId="77777777" w:rsidTr="009E4AEF">
        <w:tc>
          <w:tcPr>
            <w:tcW w:w="7927" w:type="dxa"/>
          </w:tcPr>
          <w:p w14:paraId="6A1E215A" w14:textId="340C8A18" w:rsidR="00ED423D" w:rsidRPr="003C537C" w:rsidRDefault="00ED423D" w:rsidP="009E4AEF">
            <w:pPr>
              <w:spacing w:before="120" w:line="240" w:lineRule="auto"/>
            </w:pPr>
            <w:r w:rsidRPr="003C537C">
              <w:t xml:space="preserve">2.2 </w:t>
            </w:r>
            <w:r w:rsidR="00EC479A" w:rsidRPr="003C537C">
              <w:t>Experience of producing ‘Scope of Work’ content</w:t>
            </w:r>
          </w:p>
        </w:tc>
        <w:tc>
          <w:tcPr>
            <w:tcW w:w="1616" w:type="dxa"/>
          </w:tcPr>
          <w:p w14:paraId="20F26AEA" w14:textId="5760746F" w:rsidR="00ED423D" w:rsidRPr="003C537C" w:rsidRDefault="004F010D" w:rsidP="009E4AEF">
            <w:pPr>
              <w:spacing w:before="120" w:line="240" w:lineRule="auto"/>
              <w:jc w:val="center"/>
            </w:pPr>
            <w:r w:rsidRPr="003C537C">
              <w:t>3</w:t>
            </w:r>
            <w:r w:rsidR="00252DA0" w:rsidRPr="003C537C">
              <w:t>0%</w:t>
            </w:r>
          </w:p>
        </w:tc>
      </w:tr>
      <w:tr w:rsidR="00ED423D" w:rsidRPr="003C537C" w14:paraId="276D1BAD" w14:textId="77777777" w:rsidTr="009E4AEF">
        <w:tc>
          <w:tcPr>
            <w:tcW w:w="7927" w:type="dxa"/>
          </w:tcPr>
          <w:p w14:paraId="01CC5655" w14:textId="68516CF3" w:rsidR="00ED423D" w:rsidRPr="003C537C" w:rsidRDefault="00ED423D" w:rsidP="009E4AEF">
            <w:pPr>
              <w:spacing w:before="120" w:line="240" w:lineRule="auto"/>
            </w:pPr>
            <w:r w:rsidRPr="003C537C">
              <w:t xml:space="preserve">2.3 </w:t>
            </w:r>
            <w:r w:rsidR="00EC479A" w:rsidRPr="003C537C">
              <w:t>Applicant’s track record</w:t>
            </w:r>
            <w:r w:rsidR="003379E6" w:rsidRPr="003C537C">
              <w:t xml:space="preserve"> working with scientists</w:t>
            </w:r>
          </w:p>
        </w:tc>
        <w:tc>
          <w:tcPr>
            <w:tcW w:w="1616" w:type="dxa"/>
          </w:tcPr>
          <w:p w14:paraId="1718A48B" w14:textId="41AF9C9B" w:rsidR="00ED423D" w:rsidRPr="003C537C" w:rsidRDefault="00252DA0" w:rsidP="009E4AEF">
            <w:pPr>
              <w:spacing w:before="120" w:line="240" w:lineRule="auto"/>
              <w:jc w:val="center"/>
            </w:pPr>
            <w:r w:rsidRPr="003C537C">
              <w:t>20%</w:t>
            </w:r>
          </w:p>
        </w:tc>
      </w:tr>
      <w:tr w:rsidR="00ED423D" w:rsidRPr="003C537C" w14:paraId="44A40B16" w14:textId="77777777" w:rsidTr="009E4AEF">
        <w:tc>
          <w:tcPr>
            <w:tcW w:w="7927" w:type="dxa"/>
          </w:tcPr>
          <w:p w14:paraId="1FCB88A7" w14:textId="135D40FC" w:rsidR="00ED423D" w:rsidRPr="003C537C" w:rsidRDefault="00ED423D" w:rsidP="009E4AEF">
            <w:pPr>
              <w:spacing w:before="120" w:line="240" w:lineRule="auto"/>
            </w:pPr>
            <w:r w:rsidRPr="003C537C">
              <w:t xml:space="preserve">2.4 </w:t>
            </w:r>
            <w:r w:rsidR="00930C91" w:rsidRPr="003C537C">
              <w:t>Process for delivery</w:t>
            </w:r>
            <w:r w:rsidR="002A7352" w:rsidRPr="003C537C">
              <w:t xml:space="preserve"> to time</w:t>
            </w:r>
            <w:r w:rsidR="00930C91" w:rsidRPr="003C537C">
              <w:t xml:space="preserve"> and to brief</w:t>
            </w:r>
          </w:p>
        </w:tc>
        <w:tc>
          <w:tcPr>
            <w:tcW w:w="1616" w:type="dxa"/>
          </w:tcPr>
          <w:p w14:paraId="5E46291C" w14:textId="46AAE6D2" w:rsidR="00ED423D" w:rsidRPr="003C537C" w:rsidRDefault="00580DF9" w:rsidP="009E4AEF">
            <w:pPr>
              <w:spacing w:before="120" w:line="240" w:lineRule="auto"/>
              <w:jc w:val="center"/>
            </w:pPr>
            <w:r w:rsidRPr="003C537C">
              <w:t>1</w:t>
            </w:r>
            <w:r w:rsidR="004F010D" w:rsidRPr="003C537C">
              <w:t>0</w:t>
            </w:r>
            <w:r w:rsidR="002A7352" w:rsidRPr="003C537C">
              <w:t>%</w:t>
            </w:r>
          </w:p>
        </w:tc>
      </w:tr>
      <w:tr w:rsidR="00ED423D" w:rsidRPr="003C537C" w14:paraId="06E14F3A" w14:textId="77777777" w:rsidTr="009E4AEF">
        <w:tc>
          <w:tcPr>
            <w:tcW w:w="7927" w:type="dxa"/>
          </w:tcPr>
          <w:p w14:paraId="644A24C1" w14:textId="0FF03A42" w:rsidR="00ED423D" w:rsidRPr="003C537C" w:rsidRDefault="007B0612" w:rsidP="009E4AEF">
            <w:pPr>
              <w:spacing w:before="120" w:line="240" w:lineRule="auto"/>
            </w:pPr>
            <w:r w:rsidRPr="003C537C">
              <w:t>3.1</w:t>
            </w:r>
            <w:r w:rsidR="00ED423D" w:rsidRPr="003C537C">
              <w:t xml:space="preserve"> </w:t>
            </w:r>
            <w:r w:rsidR="00580DF9" w:rsidRPr="003C537C">
              <w:t xml:space="preserve">Transparency of pricing </w:t>
            </w:r>
            <w:r w:rsidR="00ED423D" w:rsidRPr="003C537C">
              <w:t>and value for money (VFM)</w:t>
            </w:r>
          </w:p>
        </w:tc>
        <w:tc>
          <w:tcPr>
            <w:tcW w:w="1616" w:type="dxa"/>
          </w:tcPr>
          <w:p w14:paraId="0B70F12F" w14:textId="510C1B62" w:rsidR="00ED423D" w:rsidRPr="003C537C" w:rsidRDefault="00580DF9" w:rsidP="009E4AEF">
            <w:pPr>
              <w:spacing w:before="120" w:line="240" w:lineRule="auto"/>
              <w:jc w:val="center"/>
            </w:pPr>
            <w:r w:rsidRPr="003C537C">
              <w:t>3</w:t>
            </w:r>
            <w:r w:rsidR="00252DA0" w:rsidRPr="003C537C">
              <w:t>0%</w:t>
            </w:r>
          </w:p>
        </w:tc>
      </w:tr>
      <w:tr w:rsidR="00ED423D" w:rsidRPr="00807D3E" w14:paraId="79DD13D1" w14:textId="77777777" w:rsidTr="009E4AEF">
        <w:tc>
          <w:tcPr>
            <w:tcW w:w="7927" w:type="dxa"/>
          </w:tcPr>
          <w:p w14:paraId="2A3BFC35" w14:textId="77777777" w:rsidR="00ED423D" w:rsidRPr="003C537C" w:rsidRDefault="00ED423D" w:rsidP="009E4AEF">
            <w:pPr>
              <w:spacing w:before="120" w:line="240" w:lineRule="auto"/>
            </w:pPr>
          </w:p>
        </w:tc>
        <w:tc>
          <w:tcPr>
            <w:tcW w:w="1616" w:type="dxa"/>
          </w:tcPr>
          <w:p w14:paraId="5A473C31" w14:textId="77777777" w:rsidR="00ED423D" w:rsidRPr="00C8403C" w:rsidRDefault="00ED423D" w:rsidP="009E4AEF">
            <w:pPr>
              <w:spacing w:before="120" w:line="240" w:lineRule="auto"/>
              <w:jc w:val="center"/>
              <w:rPr>
                <w:b/>
                <w:bCs/>
              </w:rPr>
            </w:pPr>
            <w:r w:rsidRPr="003C537C">
              <w:rPr>
                <w:b/>
                <w:bCs/>
              </w:rPr>
              <w:t>100%</w:t>
            </w:r>
          </w:p>
        </w:tc>
      </w:tr>
    </w:tbl>
    <w:p w14:paraId="5F076F3F" w14:textId="5A54A19F" w:rsidR="00E05D9F" w:rsidRPr="00A4688F" w:rsidRDefault="00E05D9F" w:rsidP="00A4688F">
      <w:pPr>
        <w:pStyle w:val="GreenHeading1"/>
        <w:spacing w:after="160"/>
        <w:contextualSpacing/>
        <w:rPr>
          <w:sz w:val="40"/>
          <w:szCs w:val="40"/>
        </w:rPr>
      </w:pPr>
      <w:r w:rsidRPr="00A4688F">
        <w:rPr>
          <w:sz w:val="40"/>
          <w:szCs w:val="40"/>
        </w:rPr>
        <w:lastRenderedPageBreak/>
        <w:t>Requirement Scoring Criteria</w:t>
      </w:r>
    </w:p>
    <w:p w14:paraId="471C1093" w14:textId="010D2558" w:rsidR="007C3031" w:rsidRPr="00A4688F" w:rsidRDefault="003403A8" w:rsidP="00A4688F">
      <w:pPr>
        <w:spacing w:after="160" w:line="240" w:lineRule="auto"/>
        <w:rPr>
          <w:color w:val="auto"/>
        </w:rPr>
      </w:pPr>
      <w:r>
        <w:rPr>
          <w:color w:val="auto"/>
        </w:rPr>
        <w:t>The scoring mechanism for each requirement is provided under each requirement.</w:t>
      </w:r>
    </w:p>
    <w:p w14:paraId="603144FA" w14:textId="77777777" w:rsidR="00BE7E9D" w:rsidRPr="00A4688F" w:rsidRDefault="00BE7E9D" w:rsidP="00A4688F">
      <w:pPr>
        <w:pStyle w:val="GreenHeading1"/>
        <w:spacing w:after="160"/>
        <w:contextualSpacing/>
        <w:rPr>
          <w:sz w:val="40"/>
          <w:szCs w:val="40"/>
        </w:rPr>
      </w:pPr>
      <w:r w:rsidRPr="00A4688F">
        <w:rPr>
          <w:sz w:val="40"/>
          <w:szCs w:val="40"/>
        </w:rPr>
        <w:t>Contracting</w:t>
      </w:r>
    </w:p>
    <w:p w14:paraId="5D30034F" w14:textId="3E7971B0" w:rsidR="00BE7E9D" w:rsidRPr="00E40C08" w:rsidRDefault="00BE7E9D" w:rsidP="00BE7E9D">
      <w:pPr>
        <w:pStyle w:val="GreenSubheading"/>
        <w:spacing w:after="0"/>
        <w:contextualSpacing/>
        <w:jc w:val="both"/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</w:pPr>
      <w:r w:rsidRPr="00E40C08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 xml:space="preserve">HDR UK will need to move forward with contracting swiftly following selection of a supplier </w:t>
      </w:r>
      <w:proofErr w:type="gramStart"/>
      <w:r w:rsidRPr="00E40C08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>in order to</w:t>
      </w:r>
      <w:proofErr w:type="gramEnd"/>
      <w:r w:rsidRPr="00E40C08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 xml:space="preserve"> commence the services promptly. This engagement will be </w:t>
      </w:r>
      <w:r w:rsidR="006E0954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 xml:space="preserve">based upon </w:t>
      </w:r>
      <w:r w:rsidRPr="00E40C08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>HDR UK’s standard services contract terms and conditions</w:t>
      </w:r>
      <w:r w:rsidR="006E0954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 xml:space="preserve">, amended to </w:t>
      </w:r>
      <w:r w:rsidR="008127CC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>suit a ‘Master Services Agreement’ mechanism</w:t>
      </w:r>
      <w:r w:rsidRPr="00E40C08">
        <w:rPr>
          <w:rFonts w:ascii="Calibri" w:eastAsia="Calibri" w:hAnsi="Calibri" w:cs="Calibri"/>
          <w:b w:val="0"/>
          <w:color w:val="3C3C3B" w:themeColor="accent2"/>
          <w:sz w:val="22"/>
          <w:szCs w:val="22"/>
        </w:rPr>
        <w:t>. Suppliers may request a copy of this agreement as part of the tender process.</w:t>
      </w:r>
    </w:p>
    <w:p w14:paraId="199BA8F7" w14:textId="77777777" w:rsidR="00ED423D" w:rsidRPr="007703A2" w:rsidRDefault="00ED423D" w:rsidP="007703A2">
      <w:pPr>
        <w:spacing w:after="160" w:line="240" w:lineRule="auto"/>
        <w:rPr>
          <w:color w:val="auto"/>
        </w:rPr>
      </w:pPr>
      <w:r w:rsidRPr="007703A2">
        <w:rPr>
          <w:color w:val="auto"/>
        </w:rPr>
        <w:br w:type="page"/>
      </w:r>
    </w:p>
    <w:p w14:paraId="7C3A4DFD" w14:textId="167ECD6E" w:rsidR="00B1525D" w:rsidRPr="003F3290" w:rsidRDefault="00ED423D" w:rsidP="00B1525D">
      <w:pPr>
        <w:pStyle w:val="GreenSubheading"/>
        <w:spacing w:after="240"/>
        <w:rPr>
          <w:sz w:val="36"/>
          <w:szCs w:val="28"/>
        </w:rPr>
      </w:pPr>
      <w:r>
        <w:rPr>
          <w:sz w:val="36"/>
          <w:szCs w:val="28"/>
        </w:rPr>
        <w:lastRenderedPageBreak/>
        <w:t>A</w:t>
      </w:r>
      <w:r w:rsidR="00B1525D">
        <w:rPr>
          <w:sz w:val="36"/>
          <w:szCs w:val="28"/>
        </w:rPr>
        <w:t xml:space="preserve">ppendix 1: </w:t>
      </w:r>
      <w:r w:rsidR="00B1525D" w:rsidRPr="003F3290">
        <w:rPr>
          <w:sz w:val="36"/>
          <w:szCs w:val="28"/>
        </w:rPr>
        <w:t>Application Response Template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3C1C92" w:rsidRPr="00E40C08" w14:paraId="0AA40B68" w14:textId="77777777" w:rsidTr="00E62880">
        <w:tc>
          <w:tcPr>
            <w:tcW w:w="9630" w:type="dxa"/>
            <w:gridSpan w:val="2"/>
          </w:tcPr>
          <w:p w14:paraId="6B14739C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b/>
                <w:bCs/>
                <w:szCs w:val="22"/>
              </w:rPr>
              <w:t>1.1 Supplier Details</w:t>
            </w:r>
          </w:p>
        </w:tc>
      </w:tr>
      <w:tr w:rsidR="003C1C92" w:rsidRPr="00E40C08" w14:paraId="31285FD1" w14:textId="77777777" w:rsidTr="00E62880">
        <w:trPr>
          <w:trHeight w:val="345"/>
        </w:trPr>
        <w:tc>
          <w:tcPr>
            <w:tcW w:w="3960" w:type="dxa"/>
          </w:tcPr>
          <w:p w14:paraId="52563F44" w14:textId="77777777" w:rsidR="003C1C92" w:rsidRPr="00E40C08" w:rsidRDefault="003C1C92" w:rsidP="009E4AEF">
            <w:r w:rsidRPr="7FE18E7F">
              <w:rPr>
                <w:rFonts w:ascii="Calibri" w:eastAsia="Calibri" w:hAnsi="Calibri" w:cs="Calibri"/>
              </w:rPr>
              <w:t>Name of Company/freelancer:</w:t>
            </w:r>
          </w:p>
        </w:tc>
        <w:tc>
          <w:tcPr>
            <w:tcW w:w="5670" w:type="dxa"/>
            <w:shd w:val="clear" w:color="auto" w:fill="FFFFCC"/>
          </w:tcPr>
          <w:p w14:paraId="51C5ED2B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2D3DD3F1" w14:textId="77777777" w:rsidTr="00E62880">
        <w:trPr>
          <w:trHeight w:val="345"/>
        </w:trPr>
        <w:tc>
          <w:tcPr>
            <w:tcW w:w="3960" w:type="dxa"/>
          </w:tcPr>
          <w:p w14:paraId="74F09C8E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Address:</w:t>
            </w:r>
          </w:p>
        </w:tc>
        <w:tc>
          <w:tcPr>
            <w:tcW w:w="5670" w:type="dxa"/>
            <w:shd w:val="clear" w:color="auto" w:fill="FFFFCC"/>
          </w:tcPr>
          <w:p w14:paraId="4DB2E64D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6339F568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41888407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06221E15" w14:textId="77777777" w:rsidTr="00E62880">
        <w:trPr>
          <w:trHeight w:val="345"/>
        </w:trPr>
        <w:tc>
          <w:tcPr>
            <w:tcW w:w="3960" w:type="dxa"/>
          </w:tcPr>
          <w:p w14:paraId="37F87E65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Company Registration Number:</w:t>
            </w:r>
          </w:p>
        </w:tc>
        <w:tc>
          <w:tcPr>
            <w:tcW w:w="5670" w:type="dxa"/>
            <w:shd w:val="clear" w:color="auto" w:fill="FFFFCC"/>
          </w:tcPr>
          <w:p w14:paraId="5315CB39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50A34" w:rsidRPr="00E40C08" w14:paraId="370180B4" w14:textId="77777777" w:rsidTr="00E62880">
        <w:trPr>
          <w:trHeight w:val="345"/>
        </w:trPr>
        <w:tc>
          <w:tcPr>
            <w:tcW w:w="3960" w:type="dxa"/>
          </w:tcPr>
          <w:p w14:paraId="5600870A" w14:textId="3725F060" w:rsidR="00950A34" w:rsidRPr="00E40C08" w:rsidRDefault="00950A34" w:rsidP="009E4AEF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Company VAT Number (if applicable):</w:t>
            </w:r>
          </w:p>
        </w:tc>
        <w:tc>
          <w:tcPr>
            <w:tcW w:w="5670" w:type="dxa"/>
            <w:shd w:val="clear" w:color="auto" w:fill="FFFFCC"/>
          </w:tcPr>
          <w:p w14:paraId="6D497B06" w14:textId="77777777" w:rsidR="00950A34" w:rsidRPr="00E40C08" w:rsidRDefault="00950A34" w:rsidP="009E4AEF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3C1C92" w:rsidRPr="00E40C08" w14:paraId="0C3E6E89" w14:textId="77777777" w:rsidTr="00E62880">
        <w:trPr>
          <w:trHeight w:val="345"/>
        </w:trPr>
        <w:tc>
          <w:tcPr>
            <w:tcW w:w="3960" w:type="dxa"/>
          </w:tcPr>
          <w:p w14:paraId="65E8ACF8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Primary Contact Name:</w:t>
            </w:r>
          </w:p>
        </w:tc>
        <w:tc>
          <w:tcPr>
            <w:tcW w:w="5670" w:type="dxa"/>
            <w:shd w:val="clear" w:color="auto" w:fill="FFFFCC"/>
          </w:tcPr>
          <w:p w14:paraId="2A409FC7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70DB75A4" w14:textId="77777777" w:rsidTr="00E62880">
        <w:trPr>
          <w:trHeight w:val="345"/>
        </w:trPr>
        <w:tc>
          <w:tcPr>
            <w:tcW w:w="3960" w:type="dxa"/>
          </w:tcPr>
          <w:p w14:paraId="52233E0F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Primary Contact Email Address:</w:t>
            </w:r>
          </w:p>
        </w:tc>
        <w:tc>
          <w:tcPr>
            <w:tcW w:w="5670" w:type="dxa"/>
            <w:shd w:val="clear" w:color="auto" w:fill="FFFFCC"/>
          </w:tcPr>
          <w:p w14:paraId="2D109972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143E6134" w14:textId="77777777" w:rsidTr="00E62880">
        <w:trPr>
          <w:trHeight w:val="345"/>
        </w:trPr>
        <w:tc>
          <w:tcPr>
            <w:tcW w:w="3960" w:type="dxa"/>
          </w:tcPr>
          <w:p w14:paraId="2E3CFC81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Secondary Contact Name:</w:t>
            </w:r>
          </w:p>
        </w:tc>
        <w:tc>
          <w:tcPr>
            <w:tcW w:w="5670" w:type="dxa"/>
            <w:shd w:val="clear" w:color="auto" w:fill="FFFFCC"/>
          </w:tcPr>
          <w:p w14:paraId="74AFB84D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30DC0FA0" w14:textId="77777777" w:rsidTr="00E62880">
        <w:trPr>
          <w:trHeight w:val="345"/>
        </w:trPr>
        <w:tc>
          <w:tcPr>
            <w:tcW w:w="3960" w:type="dxa"/>
          </w:tcPr>
          <w:p w14:paraId="3823CBDA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Secondary Contact Email Address:</w:t>
            </w:r>
          </w:p>
        </w:tc>
        <w:tc>
          <w:tcPr>
            <w:tcW w:w="5670" w:type="dxa"/>
            <w:shd w:val="clear" w:color="auto" w:fill="FFFFCC"/>
          </w:tcPr>
          <w:p w14:paraId="50503A5E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3C1C92" w:rsidRPr="00E40C08" w14:paraId="03CEF273" w14:textId="77777777" w:rsidTr="00E62880">
        <w:tc>
          <w:tcPr>
            <w:tcW w:w="9630" w:type="dxa"/>
            <w:gridSpan w:val="2"/>
          </w:tcPr>
          <w:p w14:paraId="0550410C" w14:textId="77777777" w:rsidR="003C1C92" w:rsidRPr="00E40C08" w:rsidRDefault="003C1C92" w:rsidP="009E4AEF">
            <w:r w:rsidRPr="00E40C08">
              <w:rPr>
                <w:rFonts w:ascii="Calibri" w:eastAsia="Calibri" w:hAnsi="Calibri" w:cs="Calibri"/>
                <w:b/>
                <w:bCs/>
                <w:szCs w:val="22"/>
              </w:rPr>
              <w:t>Scoring Criteria:</w:t>
            </w:r>
          </w:p>
          <w:p w14:paraId="72DC2D9E" w14:textId="3F98D246" w:rsidR="003C1C92" w:rsidRPr="00E40C08" w:rsidRDefault="003C1C92" w:rsidP="009E4AEF">
            <w:r w:rsidRPr="00E40C08">
              <w:rPr>
                <w:rFonts w:ascii="Calibri" w:eastAsia="Calibri" w:hAnsi="Calibri" w:cs="Calibri"/>
                <w:szCs w:val="22"/>
              </w:rPr>
              <w:t>REJECTED if incomplete</w:t>
            </w:r>
          </w:p>
        </w:tc>
      </w:tr>
    </w:tbl>
    <w:p w14:paraId="0E026CE4" w14:textId="170ED811" w:rsidR="00B1525D" w:rsidRDefault="00B1525D" w:rsidP="00B1525D">
      <w:pPr>
        <w:spacing w:after="0" w:line="240" w:lineRule="auto"/>
      </w:pPr>
    </w:p>
    <w:p w14:paraId="2F83CA9C" w14:textId="77777777" w:rsidR="00257A5A" w:rsidRDefault="00257A5A" w:rsidP="00B1525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15321" w:rsidRPr="00807D3E" w14:paraId="53B7E1C9" w14:textId="77777777" w:rsidTr="00EA1DF9">
        <w:tc>
          <w:tcPr>
            <w:tcW w:w="9628" w:type="dxa"/>
            <w:gridSpan w:val="2"/>
          </w:tcPr>
          <w:p w14:paraId="4ECE1992" w14:textId="78834F3D" w:rsidR="00B15321" w:rsidRPr="00900C45" w:rsidRDefault="00B15321" w:rsidP="00A71609">
            <w:pPr>
              <w:rPr>
                <w:bCs/>
                <w:szCs w:val="22"/>
              </w:rPr>
            </w:pPr>
            <w:r w:rsidRPr="00A71609">
              <w:rPr>
                <w:rFonts w:ascii="Calibri" w:eastAsia="Calibri" w:hAnsi="Calibri" w:cs="Calibri"/>
                <w:b/>
                <w:bCs/>
                <w:szCs w:val="22"/>
              </w:rPr>
              <w:t xml:space="preserve">2.1 </w:t>
            </w:r>
            <w:r w:rsidR="00A71609">
              <w:rPr>
                <w:rFonts w:ascii="Calibri" w:eastAsia="Calibri" w:hAnsi="Calibri" w:cs="Calibri"/>
                <w:b/>
                <w:bCs/>
                <w:szCs w:val="22"/>
              </w:rPr>
              <w:t xml:space="preserve">Please </w:t>
            </w:r>
            <w:r w:rsidR="00360714">
              <w:rPr>
                <w:rFonts w:ascii="Calibri" w:eastAsia="Calibri" w:hAnsi="Calibri" w:cs="Calibri"/>
                <w:b/>
                <w:bCs/>
                <w:szCs w:val="22"/>
              </w:rPr>
              <w:t xml:space="preserve">describe your understanding </w:t>
            </w:r>
            <w:r w:rsidR="00A71609" w:rsidRPr="00A71609">
              <w:rPr>
                <w:rFonts w:ascii="Calibri" w:eastAsia="Calibri" w:hAnsi="Calibri" w:cs="Calibri"/>
                <w:b/>
                <w:bCs/>
                <w:szCs w:val="22"/>
              </w:rPr>
              <w:t>of HDR UK’s work</w:t>
            </w:r>
            <w:r w:rsidR="00360714">
              <w:rPr>
                <w:rFonts w:ascii="Calibri" w:eastAsia="Calibri" w:hAnsi="Calibri" w:cs="Calibri"/>
                <w:b/>
                <w:bCs/>
                <w:szCs w:val="22"/>
              </w:rPr>
              <w:t xml:space="preserve"> and </w:t>
            </w:r>
            <w:r w:rsidR="005C2C17">
              <w:rPr>
                <w:rFonts w:ascii="Calibri" w:eastAsia="Calibri" w:hAnsi="Calibri" w:cs="Calibri"/>
                <w:b/>
                <w:bCs/>
                <w:szCs w:val="22"/>
              </w:rPr>
              <w:t xml:space="preserve">its’ </w:t>
            </w:r>
            <w:r w:rsidR="00360714">
              <w:rPr>
                <w:rFonts w:ascii="Calibri" w:eastAsia="Calibri" w:hAnsi="Calibri" w:cs="Calibri"/>
                <w:b/>
                <w:bCs/>
                <w:szCs w:val="22"/>
              </w:rPr>
              <w:t>strategy</w:t>
            </w:r>
            <w:r w:rsidR="005C2C17">
              <w:rPr>
                <w:rFonts w:ascii="Calibri" w:eastAsia="Calibri" w:hAnsi="Calibri" w:cs="Calibri"/>
                <w:b/>
                <w:bCs/>
                <w:szCs w:val="22"/>
              </w:rPr>
              <w:t xml:space="preserve">.  This </w:t>
            </w:r>
            <w:r w:rsidR="008C5CAC">
              <w:rPr>
                <w:rFonts w:ascii="Calibri" w:eastAsia="Calibri" w:hAnsi="Calibri" w:cs="Calibri"/>
                <w:b/>
                <w:bCs/>
                <w:szCs w:val="22"/>
              </w:rPr>
              <w:t xml:space="preserve">should be concise and clear, in a way </w:t>
            </w:r>
            <w:r w:rsidR="00A71609" w:rsidRPr="00A71609">
              <w:rPr>
                <w:rFonts w:ascii="Calibri" w:eastAsia="Calibri" w:hAnsi="Calibri" w:cs="Calibri"/>
                <w:b/>
                <w:bCs/>
                <w:szCs w:val="22"/>
              </w:rPr>
              <w:t>that is accessible to the public</w:t>
            </w:r>
            <w:r w:rsidR="008C5CAC">
              <w:rPr>
                <w:rFonts w:ascii="Calibri" w:eastAsia="Calibri" w:hAnsi="Calibri" w:cs="Calibri"/>
                <w:b/>
                <w:bCs/>
                <w:szCs w:val="22"/>
              </w:rPr>
              <w:t>.</w:t>
            </w:r>
          </w:p>
        </w:tc>
      </w:tr>
      <w:tr w:rsidR="00B15321" w:rsidRPr="00807D3E" w14:paraId="7CC1B96D" w14:textId="77777777" w:rsidTr="00EA1DF9">
        <w:tc>
          <w:tcPr>
            <w:tcW w:w="562" w:type="dxa"/>
          </w:tcPr>
          <w:p w14:paraId="505DBD80" w14:textId="77777777" w:rsidR="00B15321" w:rsidRDefault="00B15321" w:rsidP="00EA1DF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66761D0C">
              <w:rPr>
                <w:b w:val="0"/>
                <w:color w:val="3C3C3B" w:themeColor="accent2"/>
                <w:sz w:val="22"/>
                <w:szCs w:val="22"/>
              </w:rPr>
              <w:t>2.1</w:t>
            </w:r>
          </w:p>
        </w:tc>
        <w:tc>
          <w:tcPr>
            <w:tcW w:w="9066" w:type="dxa"/>
            <w:shd w:val="clear" w:color="auto" w:fill="FFFFCC"/>
          </w:tcPr>
          <w:p w14:paraId="15FB7FAD" w14:textId="77777777" w:rsidR="00C1644D" w:rsidRDefault="00C1644D" w:rsidP="00EA1DF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E0D6114" w14:textId="77777777" w:rsidR="00362E05" w:rsidRDefault="00362E05" w:rsidP="00EA1DF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D9EFF51" w14:textId="77777777" w:rsidR="00C1644D" w:rsidRDefault="00C1644D" w:rsidP="00EA1DF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0840356" w14:textId="77777777" w:rsidR="00C1644D" w:rsidRDefault="00C1644D" w:rsidP="00EA1DF9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76DDCEF" w14:textId="52F0D8BD" w:rsidR="00900C45" w:rsidRDefault="008C5CAC" w:rsidP="00C1644D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</w:t>
            </w:r>
            <w:r w:rsidR="005405E5">
              <w:rPr>
                <w:b w:val="0"/>
                <w:color w:val="3C3C3B" w:themeColor="accent2"/>
                <w:sz w:val="22"/>
                <w:szCs w:val="22"/>
              </w:rPr>
              <w:t>max 250 words</w:t>
            </w:r>
            <w:r>
              <w:rPr>
                <w:b w:val="0"/>
                <w:color w:val="3C3C3B" w:themeColor="accent2"/>
                <w:sz w:val="22"/>
                <w:szCs w:val="22"/>
              </w:rPr>
              <w:t>]</w:t>
            </w:r>
          </w:p>
        </w:tc>
      </w:tr>
      <w:tr w:rsidR="00B15321" w:rsidRPr="00807D3E" w14:paraId="4F1F2F6D" w14:textId="77777777" w:rsidTr="00EA1DF9">
        <w:tc>
          <w:tcPr>
            <w:tcW w:w="9628" w:type="dxa"/>
            <w:gridSpan w:val="2"/>
          </w:tcPr>
          <w:p w14:paraId="4412A960" w14:textId="77777777" w:rsidR="00B15321" w:rsidRPr="00797DB7" w:rsidRDefault="00B15321" w:rsidP="00EA1DF9">
            <w:pPr>
              <w:spacing w:before="120" w:line="240" w:lineRule="auto"/>
              <w:rPr>
                <w:b/>
                <w:bCs/>
              </w:rPr>
            </w:pPr>
            <w:r w:rsidRPr="00797DB7">
              <w:rPr>
                <w:b/>
                <w:bCs/>
              </w:rPr>
              <w:t>Scoring Criteria:</w:t>
            </w:r>
          </w:p>
          <w:p w14:paraId="1AF8AA1C" w14:textId="77777777" w:rsidR="00B15321" w:rsidRDefault="00B15321" w:rsidP="00EA1DF9">
            <w:r>
              <w:t>0 – Response incomplete or does not substantively address the requirement</w:t>
            </w:r>
          </w:p>
          <w:p w14:paraId="50A2ACAB" w14:textId="50AF6E92" w:rsidR="00B15321" w:rsidRDefault="00B15321" w:rsidP="00EA1DF9">
            <w:r>
              <w:t xml:space="preserve">3 – Response poor and whilst addresses the requirement, causes major concern about the expertise </w:t>
            </w:r>
            <w:r w:rsidR="005405E5">
              <w:t>or understanding the applicant has of HDR UK</w:t>
            </w:r>
            <w:r>
              <w:t>.</w:t>
            </w:r>
          </w:p>
          <w:p w14:paraId="0BC6F451" w14:textId="682CE6F2" w:rsidR="00B15321" w:rsidRDefault="00B15321" w:rsidP="00EA1DF9">
            <w:r>
              <w:t xml:space="preserve">7 – Response is good, addressing the requirement and causing only minor concerns about the </w:t>
            </w:r>
            <w:r w:rsidR="00AC3681">
              <w:t>expertise or understanding the applicant has of HDR UK</w:t>
            </w:r>
            <w:r>
              <w:t>.</w:t>
            </w:r>
          </w:p>
          <w:p w14:paraId="6A9772E2" w14:textId="6592C9E7" w:rsidR="00B15321" w:rsidRDefault="00B15321" w:rsidP="00EA1DF9">
            <w:r>
              <w:t>10 – Excellent response proving the</w:t>
            </w:r>
            <w:r w:rsidR="00AC3681">
              <w:t xml:space="preserve"> expertise and understanding the applicant has of HDR UK</w:t>
            </w:r>
            <w:r>
              <w:t>.</w:t>
            </w:r>
          </w:p>
        </w:tc>
      </w:tr>
    </w:tbl>
    <w:p w14:paraId="416B8AB4" w14:textId="55B5033E" w:rsidR="00196E8F" w:rsidRDefault="00196E8F" w:rsidP="00B1525D">
      <w:pPr>
        <w:spacing w:after="0" w:line="240" w:lineRule="auto"/>
      </w:pPr>
    </w:p>
    <w:p w14:paraId="1C4A31ED" w14:textId="77777777" w:rsidR="00196E8F" w:rsidRDefault="00196E8F" w:rsidP="00B1525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1525D" w:rsidRPr="00807D3E" w14:paraId="4D6EB6DD" w14:textId="77777777" w:rsidTr="00F523D3">
        <w:tc>
          <w:tcPr>
            <w:tcW w:w="9628" w:type="dxa"/>
            <w:gridSpan w:val="2"/>
          </w:tcPr>
          <w:p w14:paraId="7DE070D5" w14:textId="77777777" w:rsidR="00AC447F" w:rsidRDefault="00B1525D" w:rsidP="00C1644D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C1644D">
              <w:rPr>
                <w:rFonts w:ascii="Calibri" w:eastAsia="Calibri" w:hAnsi="Calibri" w:cs="Calibri"/>
                <w:b/>
                <w:bCs/>
                <w:szCs w:val="22"/>
              </w:rPr>
              <w:t xml:space="preserve">2.2 </w:t>
            </w:r>
            <w:r w:rsidR="00C1644D">
              <w:rPr>
                <w:rFonts w:ascii="Calibri" w:eastAsia="Calibri" w:hAnsi="Calibri" w:cs="Calibri"/>
                <w:b/>
                <w:bCs/>
                <w:szCs w:val="22"/>
              </w:rPr>
              <w:t>Please describe your e</w:t>
            </w:r>
            <w:r w:rsidR="00C1644D" w:rsidRPr="00C1644D">
              <w:rPr>
                <w:rFonts w:ascii="Calibri" w:eastAsia="Calibri" w:hAnsi="Calibri" w:cs="Calibri"/>
                <w:b/>
                <w:bCs/>
                <w:szCs w:val="22"/>
              </w:rPr>
              <w:t xml:space="preserve">xperience of, and ability to, produce </w:t>
            </w:r>
            <w:r w:rsidR="009851AB">
              <w:rPr>
                <w:rFonts w:ascii="Calibri" w:eastAsia="Calibri" w:hAnsi="Calibri" w:cs="Calibri"/>
                <w:b/>
                <w:bCs/>
                <w:szCs w:val="22"/>
              </w:rPr>
              <w:t xml:space="preserve">the </w:t>
            </w:r>
            <w:r w:rsidR="00C1644D" w:rsidRPr="00C1644D">
              <w:rPr>
                <w:rFonts w:ascii="Calibri" w:eastAsia="Calibri" w:hAnsi="Calibri" w:cs="Calibri"/>
                <w:b/>
                <w:bCs/>
                <w:szCs w:val="22"/>
              </w:rPr>
              <w:t>content listed under ‘</w:t>
            </w:r>
            <w:r w:rsidR="005C1980">
              <w:rPr>
                <w:rFonts w:ascii="Calibri" w:eastAsia="Calibri" w:hAnsi="Calibri" w:cs="Calibri"/>
                <w:b/>
                <w:bCs/>
                <w:szCs w:val="22"/>
              </w:rPr>
              <w:t>S</w:t>
            </w:r>
            <w:r w:rsidR="00C1644D" w:rsidRPr="00C1644D">
              <w:rPr>
                <w:rFonts w:ascii="Calibri" w:eastAsia="Calibri" w:hAnsi="Calibri" w:cs="Calibri"/>
                <w:b/>
                <w:bCs/>
                <w:szCs w:val="22"/>
              </w:rPr>
              <w:t xml:space="preserve">cope of </w:t>
            </w:r>
            <w:r w:rsidR="005C1980">
              <w:rPr>
                <w:rFonts w:ascii="Calibri" w:eastAsia="Calibri" w:hAnsi="Calibri" w:cs="Calibri"/>
                <w:b/>
                <w:bCs/>
                <w:szCs w:val="22"/>
              </w:rPr>
              <w:t>W</w:t>
            </w:r>
            <w:r w:rsidR="00C1644D" w:rsidRPr="00C1644D">
              <w:rPr>
                <w:rFonts w:ascii="Calibri" w:eastAsia="Calibri" w:hAnsi="Calibri" w:cs="Calibri"/>
                <w:b/>
                <w:bCs/>
                <w:szCs w:val="22"/>
              </w:rPr>
              <w:t>ork’</w:t>
            </w:r>
            <w:r w:rsidR="00AC447F">
              <w:rPr>
                <w:rFonts w:ascii="Calibri" w:eastAsia="Calibri" w:hAnsi="Calibri" w:cs="Calibri"/>
                <w:b/>
                <w:bCs/>
                <w:szCs w:val="22"/>
              </w:rPr>
              <w:t xml:space="preserve">. </w:t>
            </w:r>
          </w:p>
          <w:p w14:paraId="1ABE871D" w14:textId="580EA729" w:rsidR="00C1644D" w:rsidRDefault="00AC447F" w:rsidP="00C1644D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In addition, </w:t>
            </w:r>
            <w:r w:rsidR="00B84EDC">
              <w:rPr>
                <w:rFonts w:ascii="Calibri" w:eastAsia="Calibri" w:hAnsi="Calibri" w:cs="Calibri"/>
                <w:b/>
                <w:bCs/>
                <w:szCs w:val="22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 include as separate attachments 5 examples of previous work covering a range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Cs w:val="22"/>
              </w:rPr>
              <w:t>similar to</w:t>
            </w:r>
            <w:proofErr w:type="gramEnd"/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 the ‘Scope of Work’.</w:t>
            </w:r>
          </w:p>
          <w:p w14:paraId="7E9D0DB3" w14:textId="77777777" w:rsidR="00B1525D" w:rsidRDefault="001801F6" w:rsidP="005C1980">
            <w:pPr>
              <w:rPr>
                <w:rFonts w:ascii="Calibri" w:eastAsia="Calibri" w:hAnsi="Calibri" w:cs="Calibri"/>
                <w:i/>
                <w:iCs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Cs w:val="22"/>
              </w:rPr>
              <w:t xml:space="preserve">Note: </w:t>
            </w:r>
            <w:r w:rsidR="00C1644D" w:rsidRPr="005C1980">
              <w:rPr>
                <w:rFonts w:ascii="Calibri" w:eastAsia="Calibri" w:hAnsi="Calibri" w:cs="Calibri"/>
                <w:i/>
                <w:iCs/>
                <w:szCs w:val="22"/>
              </w:rPr>
              <w:t>This includes the ability to take highly scientific and/or technical material and producing high quality, accurate and engaging content for different and lay audiences – including researchers, academics, technologists, and the public.</w:t>
            </w:r>
          </w:p>
          <w:p w14:paraId="3AA0FF4B" w14:textId="0AC7337C" w:rsidR="001801F6" w:rsidRPr="005C1980" w:rsidRDefault="001801F6" w:rsidP="005C1980">
            <w:pPr>
              <w:rPr>
                <w:rFonts w:ascii="Calibri" w:eastAsia="Calibri" w:hAnsi="Calibri" w:cs="Calibri"/>
                <w:i/>
                <w:iCs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Cs w:val="22"/>
              </w:rPr>
              <w:t xml:space="preserve">Note: Separate attachments should be clearly labelled </w:t>
            </w:r>
            <w:r w:rsidR="00706F2C">
              <w:rPr>
                <w:rFonts w:ascii="Calibri" w:eastAsia="Calibri" w:hAnsi="Calibri" w:cs="Calibri"/>
                <w:i/>
                <w:iCs/>
                <w:szCs w:val="22"/>
              </w:rPr>
              <w:t>‘supplier name 2.2 attachment 1</w:t>
            </w:r>
            <w:r w:rsidR="00257A5A">
              <w:rPr>
                <w:rFonts w:ascii="Calibri" w:eastAsia="Calibri" w:hAnsi="Calibri" w:cs="Calibri"/>
                <w:i/>
                <w:iCs/>
                <w:szCs w:val="22"/>
              </w:rPr>
              <w:t>’ etc</w:t>
            </w:r>
          </w:p>
        </w:tc>
      </w:tr>
      <w:tr w:rsidR="00B1525D" w:rsidRPr="00807D3E" w14:paraId="2554E7CB" w14:textId="77777777" w:rsidTr="00F523D3">
        <w:tc>
          <w:tcPr>
            <w:tcW w:w="562" w:type="dxa"/>
          </w:tcPr>
          <w:p w14:paraId="2B6A153A" w14:textId="575EF9F9" w:rsidR="00B1525D" w:rsidRDefault="00B1525D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66761D0C">
              <w:rPr>
                <w:b w:val="0"/>
                <w:color w:val="3C3C3B" w:themeColor="accent2"/>
                <w:sz w:val="22"/>
                <w:szCs w:val="22"/>
              </w:rPr>
              <w:t>2.2</w:t>
            </w:r>
          </w:p>
        </w:tc>
        <w:tc>
          <w:tcPr>
            <w:tcW w:w="9066" w:type="dxa"/>
            <w:shd w:val="clear" w:color="auto" w:fill="FFFFCC"/>
          </w:tcPr>
          <w:p w14:paraId="1FBD1CDA" w14:textId="77777777" w:rsidR="00B1525D" w:rsidRDefault="00B1525D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7440595B" w14:textId="77777777" w:rsidR="00661713" w:rsidRDefault="00661713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54B2A05" w14:textId="3986C27D" w:rsidR="00661713" w:rsidRDefault="00661713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1E0170C" w14:textId="0CE0CE7A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75DCAC2" w14:textId="543833EE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B2D1CA6" w14:textId="5CB0CCBE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5AB76F5" w14:textId="1DFF57FE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7DF6D95" w14:textId="017BE3D2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8DF97FB" w14:textId="04D61D81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5368803" w14:textId="380CA861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3B83AA39" w14:textId="452611A4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3B41F3C3" w14:textId="77777777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3C0B4139" w14:textId="77777777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35089550" w14:textId="1E04F88A" w:rsidR="00661713" w:rsidRDefault="00C1644D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[max 500 words]</w:t>
            </w:r>
          </w:p>
        </w:tc>
      </w:tr>
      <w:tr w:rsidR="00C1644D" w:rsidRPr="00807D3E" w14:paraId="3112A085" w14:textId="77777777" w:rsidTr="00EA1DF9">
        <w:tc>
          <w:tcPr>
            <w:tcW w:w="9628" w:type="dxa"/>
            <w:gridSpan w:val="2"/>
          </w:tcPr>
          <w:p w14:paraId="4912446D" w14:textId="77777777" w:rsidR="00C1644D" w:rsidRPr="00797DB7" w:rsidRDefault="00C1644D" w:rsidP="00EA1DF9">
            <w:pPr>
              <w:spacing w:before="120" w:line="240" w:lineRule="auto"/>
              <w:rPr>
                <w:b/>
                <w:bCs/>
              </w:rPr>
            </w:pPr>
            <w:r w:rsidRPr="00797DB7">
              <w:rPr>
                <w:b/>
                <w:bCs/>
              </w:rPr>
              <w:t>Scoring Criteria:</w:t>
            </w:r>
          </w:p>
          <w:p w14:paraId="5CD7F6FE" w14:textId="65015BDF" w:rsidR="00C1644D" w:rsidRDefault="00C1644D" w:rsidP="00EA1DF9">
            <w:r>
              <w:t>0 – Response incomplete or does not substantively address the requirement</w:t>
            </w:r>
          </w:p>
          <w:p w14:paraId="642B4F9A" w14:textId="1CFD95DB" w:rsidR="00C1644D" w:rsidRDefault="00C1644D" w:rsidP="00EA1DF9">
            <w:r>
              <w:t>3 – Response poor and whilst addresses the requirement, causes major concern about the</w:t>
            </w:r>
            <w:r w:rsidR="000A7FBE">
              <w:t xml:space="preserve"> ability of the applicant to evidence experience </w:t>
            </w:r>
            <w:r w:rsidR="00B84EDC">
              <w:t>covering the breadth required</w:t>
            </w:r>
            <w:r>
              <w:t>.</w:t>
            </w:r>
          </w:p>
          <w:p w14:paraId="6C99C546" w14:textId="68083B77" w:rsidR="00C1644D" w:rsidRDefault="00C1644D" w:rsidP="00EA1DF9">
            <w:r>
              <w:t xml:space="preserve">7 – Response is good, addressing the requirement and causing only minor concerns </w:t>
            </w:r>
            <w:r w:rsidR="00C311D2">
              <w:t>about the ability of the applicant to evidence experience covering the breadth required.</w:t>
            </w:r>
          </w:p>
          <w:p w14:paraId="6231F1B5" w14:textId="396CA339" w:rsidR="00C1644D" w:rsidRDefault="00C1644D" w:rsidP="00EA1DF9">
            <w:r>
              <w:t xml:space="preserve">10 – Excellent response proving the </w:t>
            </w:r>
            <w:r w:rsidR="0026422D">
              <w:t>experience</w:t>
            </w:r>
            <w:r w:rsidR="003E49A6">
              <w:t xml:space="preserve"> of the applicant </w:t>
            </w:r>
            <w:r w:rsidR="0026422D">
              <w:t xml:space="preserve">and </w:t>
            </w:r>
            <w:r w:rsidR="003E49A6">
              <w:t>evidenc</w:t>
            </w:r>
            <w:r w:rsidR="0026422D">
              <w:t xml:space="preserve">ing </w:t>
            </w:r>
            <w:r w:rsidR="003E49A6">
              <w:t xml:space="preserve">experience </w:t>
            </w:r>
            <w:r w:rsidR="0026422D">
              <w:t xml:space="preserve">across </w:t>
            </w:r>
            <w:r w:rsidR="003E49A6">
              <w:t>the breadth required.</w:t>
            </w:r>
          </w:p>
        </w:tc>
      </w:tr>
    </w:tbl>
    <w:p w14:paraId="0ABE91E4" w14:textId="3E799DC7" w:rsidR="00B1525D" w:rsidRDefault="00B1525D" w:rsidP="00B1525D">
      <w:pPr>
        <w:spacing w:after="0" w:line="240" w:lineRule="auto"/>
      </w:pPr>
    </w:p>
    <w:p w14:paraId="5AA6B8F4" w14:textId="3D1444F7" w:rsidR="00C1644D" w:rsidRDefault="00C1644D" w:rsidP="00B1525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07D6F" w:rsidRPr="00807D3E" w14:paraId="6A11CE37" w14:textId="77777777" w:rsidTr="00F523D3">
        <w:tc>
          <w:tcPr>
            <w:tcW w:w="9628" w:type="dxa"/>
            <w:gridSpan w:val="2"/>
          </w:tcPr>
          <w:p w14:paraId="47D8FA94" w14:textId="0FCAD0C1" w:rsidR="00E07D6F" w:rsidRPr="00C5389F" w:rsidRDefault="00E07D6F" w:rsidP="00C5389F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C5389F">
              <w:rPr>
                <w:rFonts w:ascii="Calibri" w:eastAsia="Calibri" w:hAnsi="Calibri" w:cs="Calibri"/>
                <w:b/>
                <w:bCs/>
                <w:szCs w:val="22"/>
              </w:rPr>
              <w:lastRenderedPageBreak/>
              <w:t xml:space="preserve">2.3. </w:t>
            </w:r>
            <w:r w:rsidR="00C5389F">
              <w:rPr>
                <w:rFonts w:ascii="Calibri" w:eastAsia="Calibri" w:hAnsi="Calibri" w:cs="Calibri"/>
                <w:b/>
                <w:bCs/>
                <w:szCs w:val="22"/>
              </w:rPr>
              <w:t xml:space="preserve">Please explain your </w:t>
            </w:r>
            <w:r w:rsidR="00C5389F" w:rsidRPr="00C5389F">
              <w:rPr>
                <w:rFonts w:ascii="Calibri" w:eastAsia="Calibri" w:hAnsi="Calibri" w:cs="Calibri"/>
                <w:b/>
                <w:bCs/>
                <w:szCs w:val="22"/>
              </w:rPr>
              <w:t xml:space="preserve">track record of working with scientists to understand the basis for their work, delivering interviews, writing </w:t>
            </w:r>
            <w:proofErr w:type="gramStart"/>
            <w:r w:rsidR="00C5389F" w:rsidRPr="00C5389F">
              <w:rPr>
                <w:rFonts w:ascii="Calibri" w:eastAsia="Calibri" w:hAnsi="Calibri" w:cs="Calibri"/>
                <w:b/>
                <w:bCs/>
                <w:szCs w:val="22"/>
              </w:rPr>
              <w:t>copy</w:t>
            </w:r>
            <w:proofErr w:type="gramEnd"/>
            <w:r w:rsidR="00C5389F" w:rsidRPr="00C5389F">
              <w:rPr>
                <w:rFonts w:ascii="Calibri" w:eastAsia="Calibri" w:hAnsi="Calibri" w:cs="Calibri"/>
                <w:b/>
                <w:bCs/>
                <w:szCs w:val="22"/>
              </w:rPr>
              <w:t xml:space="preserve"> and ensuring sign off/approvals.</w:t>
            </w:r>
          </w:p>
        </w:tc>
      </w:tr>
      <w:tr w:rsidR="00E07D6F" w:rsidRPr="00807D3E" w14:paraId="5C1D4575" w14:textId="77777777" w:rsidTr="00F523D3">
        <w:tc>
          <w:tcPr>
            <w:tcW w:w="562" w:type="dxa"/>
          </w:tcPr>
          <w:p w14:paraId="4820F4A3" w14:textId="328CBBA1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66761D0C">
              <w:rPr>
                <w:b w:val="0"/>
                <w:color w:val="3C3C3B" w:themeColor="accent2"/>
                <w:sz w:val="22"/>
                <w:szCs w:val="22"/>
              </w:rPr>
              <w:t>2.</w:t>
            </w:r>
            <w:r>
              <w:rPr>
                <w:b w:val="0"/>
                <w:color w:val="3C3C3B" w:themeColor="accent2"/>
                <w:sz w:val="22"/>
                <w:szCs w:val="22"/>
              </w:rPr>
              <w:t>3</w:t>
            </w:r>
          </w:p>
        </w:tc>
        <w:tc>
          <w:tcPr>
            <w:tcW w:w="9066" w:type="dxa"/>
            <w:shd w:val="clear" w:color="auto" w:fill="FFFFCC"/>
          </w:tcPr>
          <w:p w14:paraId="7BC310DC" w14:textId="77777777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9578197" w14:textId="77777777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D135227" w14:textId="3EDF3D7D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546CB24" w14:textId="57EBD8AD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DE45252" w14:textId="0B36D5BB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1B2146A" w14:textId="37C60A2A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380B710" w14:textId="3BFBB76E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2B8CFE7" w14:textId="470C9BB2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9BDE025" w14:textId="144CB52D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DCF28A2" w14:textId="6F56ABE9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B0DFA69" w14:textId="124C7639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A6027B9" w14:textId="75E0B4D4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88613F0" w14:textId="5AB7BFD1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646A8C4" w14:textId="6FC539FF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7C4EE0D2" w14:textId="7913DBC9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9E3A5D5" w14:textId="7D5DA0EF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BF3F8BF" w14:textId="299A7E0C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26E250DA" w14:textId="77777777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94362E9" w14:textId="77777777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3A2943DD" w14:textId="5B2FA85B" w:rsidR="00E07D6F" w:rsidRDefault="00C5389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[max 250 words]</w:t>
            </w:r>
          </w:p>
        </w:tc>
      </w:tr>
      <w:tr w:rsidR="00C5389F" w:rsidRPr="00807D3E" w14:paraId="1632DA48" w14:textId="77777777" w:rsidTr="00EA1DF9">
        <w:tc>
          <w:tcPr>
            <w:tcW w:w="9628" w:type="dxa"/>
            <w:gridSpan w:val="2"/>
          </w:tcPr>
          <w:p w14:paraId="7B136E98" w14:textId="77777777" w:rsidR="00C5389F" w:rsidRPr="00797DB7" w:rsidRDefault="00C5389F" w:rsidP="00EA1DF9">
            <w:pPr>
              <w:spacing w:before="120" w:line="240" w:lineRule="auto"/>
              <w:rPr>
                <w:b/>
                <w:bCs/>
              </w:rPr>
            </w:pPr>
            <w:r w:rsidRPr="00797DB7">
              <w:rPr>
                <w:b/>
                <w:bCs/>
              </w:rPr>
              <w:t>Scoring Criteria:</w:t>
            </w:r>
          </w:p>
          <w:p w14:paraId="3386C97C" w14:textId="77777777" w:rsidR="00C5389F" w:rsidRDefault="00C5389F" w:rsidP="00EA1DF9">
            <w:r>
              <w:t>0 – Response incomplete or does not substantively address the requirement</w:t>
            </w:r>
          </w:p>
          <w:p w14:paraId="54EC7515" w14:textId="2832B9F2" w:rsidR="00C5389F" w:rsidRDefault="00C5389F" w:rsidP="00EA1DF9">
            <w:r>
              <w:t xml:space="preserve">3 – Response poor and whilst addresses the requirement, causes major concern about the </w:t>
            </w:r>
            <w:r w:rsidR="0092419C">
              <w:t>track record of the applicant</w:t>
            </w:r>
            <w:r w:rsidR="00DF1700">
              <w:t xml:space="preserve"> in this context</w:t>
            </w:r>
            <w:r>
              <w:t>.</w:t>
            </w:r>
          </w:p>
          <w:p w14:paraId="0E549B12" w14:textId="3EB677C3" w:rsidR="00C5389F" w:rsidRDefault="00C5389F" w:rsidP="00EA1DF9">
            <w:r>
              <w:t xml:space="preserve">7 – Response is good, addressing the requirement and causing only minor concerns about </w:t>
            </w:r>
            <w:r w:rsidR="0092419C">
              <w:t>the track record of the applicant</w:t>
            </w:r>
            <w:r w:rsidR="00DF1700">
              <w:t xml:space="preserve"> in this context</w:t>
            </w:r>
            <w:r>
              <w:t>.</w:t>
            </w:r>
          </w:p>
          <w:p w14:paraId="5ECDBF5A" w14:textId="7A3B0784" w:rsidR="00C5389F" w:rsidRDefault="00C5389F" w:rsidP="00EA1DF9">
            <w:r>
              <w:t xml:space="preserve">10 – Excellent response proving the </w:t>
            </w:r>
            <w:r w:rsidR="00500254">
              <w:t>track record of the applicant</w:t>
            </w:r>
            <w:r w:rsidR="00DF1700">
              <w:t xml:space="preserve"> in this context</w:t>
            </w:r>
            <w:r>
              <w:t>.</w:t>
            </w:r>
          </w:p>
        </w:tc>
      </w:tr>
    </w:tbl>
    <w:p w14:paraId="70AFC354" w14:textId="697BDA63" w:rsidR="00E07D6F" w:rsidRDefault="00E07D6F" w:rsidP="00B1525D">
      <w:pPr>
        <w:spacing w:after="0" w:line="240" w:lineRule="auto"/>
      </w:pPr>
    </w:p>
    <w:p w14:paraId="4F75F3B6" w14:textId="77777777" w:rsidR="00C5389F" w:rsidRDefault="00C5389F" w:rsidP="00B1525D">
      <w:pPr>
        <w:spacing w:after="0" w:line="240" w:lineRule="auto"/>
      </w:pPr>
    </w:p>
    <w:p w14:paraId="765C23DE" w14:textId="00B58C84" w:rsidR="00362E05" w:rsidRDefault="00362E05">
      <w:pPr>
        <w:spacing w:after="0" w:line="240" w:lineRule="auto"/>
      </w:pPr>
      <w:r>
        <w:br w:type="page"/>
      </w:r>
    </w:p>
    <w:p w14:paraId="4FDC593A" w14:textId="77777777" w:rsidR="00E07D6F" w:rsidRDefault="00E07D6F" w:rsidP="00B1525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1525D" w:rsidRPr="00807D3E" w14:paraId="39D57D43" w14:textId="77777777" w:rsidTr="00F523D3">
        <w:tc>
          <w:tcPr>
            <w:tcW w:w="9628" w:type="dxa"/>
            <w:gridSpan w:val="2"/>
          </w:tcPr>
          <w:p w14:paraId="3FA12321" w14:textId="12A19B52" w:rsidR="002D6B3E" w:rsidRDefault="00B1525D" w:rsidP="00CC74B8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CC74B8">
              <w:rPr>
                <w:rFonts w:ascii="Calibri" w:eastAsia="Calibri" w:hAnsi="Calibri" w:cs="Calibri"/>
                <w:b/>
                <w:bCs/>
                <w:szCs w:val="22"/>
              </w:rPr>
              <w:t>2.</w:t>
            </w:r>
            <w:r w:rsidR="00EB661C" w:rsidRPr="00CC74B8">
              <w:rPr>
                <w:rFonts w:ascii="Calibri" w:eastAsia="Calibri" w:hAnsi="Calibri" w:cs="Calibri"/>
                <w:b/>
                <w:bCs/>
                <w:szCs w:val="22"/>
              </w:rPr>
              <w:t>4</w:t>
            </w:r>
            <w:r w:rsidRPr="00CC74B8">
              <w:rPr>
                <w:rFonts w:ascii="Calibri" w:eastAsia="Calibri" w:hAnsi="Calibri" w:cs="Calibri"/>
                <w:b/>
                <w:bCs/>
                <w:szCs w:val="22"/>
              </w:rPr>
              <w:t xml:space="preserve">. </w:t>
            </w:r>
            <w:r w:rsidR="00CC74B8">
              <w:rPr>
                <w:rFonts w:ascii="Calibri" w:eastAsia="Calibri" w:hAnsi="Calibri" w:cs="Calibri"/>
                <w:b/>
                <w:bCs/>
                <w:szCs w:val="22"/>
              </w:rPr>
              <w:t xml:space="preserve">Please describe </w:t>
            </w:r>
            <w:r w:rsidR="002D6B3E">
              <w:rPr>
                <w:rFonts w:ascii="Calibri" w:eastAsia="Calibri" w:hAnsi="Calibri" w:cs="Calibri"/>
                <w:b/>
                <w:bCs/>
                <w:szCs w:val="22"/>
              </w:rPr>
              <w:t xml:space="preserve">the process you will undertake </w:t>
            </w:r>
            <w:r w:rsidR="00300BE3">
              <w:rPr>
                <w:rFonts w:ascii="Calibri" w:eastAsia="Calibri" w:hAnsi="Calibri" w:cs="Calibri"/>
                <w:b/>
                <w:bCs/>
                <w:szCs w:val="22"/>
              </w:rPr>
              <w:t>when</w:t>
            </w:r>
            <w:r w:rsidR="002D6B3E">
              <w:rPr>
                <w:rFonts w:ascii="Calibri" w:eastAsia="Calibri" w:hAnsi="Calibri" w:cs="Calibri"/>
                <w:b/>
                <w:bCs/>
                <w:szCs w:val="22"/>
              </w:rPr>
              <w:t>:</w:t>
            </w:r>
          </w:p>
          <w:p w14:paraId="4F8207D1" w14:textId="31DC2A53" w:rsidR="002D6B3E" w:rsidRDefault="002D4BF6" w:rsidP="00CC74B8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>i) respond</w:t>
            </w:r>
            <w:r w:rsidR="00300BE3">
              <w:rPr>
                <w:rFonts w:ascii="Calibri" w:eastAsia="Calibri" w:hAnsi="Calibri" w:cs="Calibri"/>
                <w:b/>
                <w:bCs/>
                <w:szCs w:val="22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 promptly to </w:t>
            </w:r>
            <w:r w:rsidR="002D6B3E">
              <w:rPr>
                <w:rFonts w:ascii="Calibri" w:eastAsia="Calibri" w:hAnsi="Calibri" w:cs="Calibri"/>
                <w:b/>
                <w:bCs/>
                <w:szCs w:val="22"/>
              </w:rPr>
              <w:t xml:space="preserve">HDR UK 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specific project briefs with </w:t>
            </w:r>
            <w:r w:rsidR="002D6B3E">
              <w:rPr>
                <w:rFonts w:ascii="Calibri" w:eastAsia="Calibri" w:hAnsi="Calibri" w:cs="Calibri"/>
                <w:b/>
                <w:bCs/>
                <w:szCs w:val="22"/>
              </w:rPr>
              <w:t xml:space="preserve">costed 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>proposals</w:t>
            </w:r>
          </w:p>
          <w:p w14:paraId="7E79966D" w14:textId="77777777" w:rsidR="00752A95" w:rsidRDefault="002D6B3E" w:rsidP="00CC74B8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ii) </w:t>
            </w:r>
            <w:r w:rsidR="00752A95">
              <w:rPr>
                <w:rFonts w:ascii="Calibri" w:eastAsia="Calibri" w:hAnsi="Calibri" w:cs="Calibri"/>
                <w:b/>
                <w:bCs/>
                <w:szCs w:val="22"/>
              </w:rPr>
              <w:t xml:space="preserve">ensuring </w:t>
            </w:r>
            <w:r w:rsidR="00CC74B8" w:rsidRPr="00CC74B8">
              <w:rPr>
                <w:rFonts w:ascii="Calibri" w:eastAsia="Calibri" w:hAnsi="Calibri" w:cs="Calibri"/>
                <w:b/>
                <w:bCs/>
                <w:szCs w:val="22"/>
              </w:rPr>
              <w:t>deliver</w:t>
            </w:r>
            <w:r w:rsidR="00752A95">
              <w:rPr>
                <w:rFonts w:ascii="Calibri" w:eastAsia="Calibri" w:hAnsi="Calibri" w:cs="Calibri"/>
                <w:b/>
                <w:bCs/>
                <w:szCs w:val="22"/>
              </w:rPr>
              <w:t>y</w:t>
            </w:r>
            <w:r w:rsidR="00CC74B8" w:rsidRPr="00CC74B8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752A95">
              <w:rPr>
                <w:rFonts w:ascii="Calibri" w:eastAsia="Calibri" w:hAnsi="Calibri" w:cs="Calibri"/>
                <w:b/>
                <w:bCs/>
                <w:szCs w:val="22"/>
              </w:rPr>
              <w:t xml:space="preserve">of </w:t>
            </w:r>
            <w:r w:rsidR="00CC74B8" w:rsidRPr="00CC74B8">
              <w:rPr>
                <w:rFonts w:ascii="Calibri" w:eastAsia="Calibri" w:hAnsi="Calibri" w:cs="Calibri"/>
                <w:b/>
                <w:bCs/>
                <w:szCs w:val="22"/>
              </w:rPr>
              <w:t>work on time and to brief</w:t>
            </w:r>
          </w:p>
          <w:p w14:paraId="4160CE41" w14:textId="29C50F0B" w:rsidR="00B1525D" w:rsidRPr="00CC74B8" w:rsidRDefault="00752A95" w:rsidP="00CC74B8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iii) </w:t>
            </w:r>
            <w:r w:rsidR="008252FF">
              <w:rPr>
                <w:rFonts w:ascii="Calibri" w:eastAsia="Calibri" w:hAnsi="Calibri" w:cs="Calibri"/>
                <w:b/>
                <w:bCs/>
                <w:szCs w:val="22"/>
              </w:rPr>
              <w:t>coping with short notice projects or deadlines</w:t>
            </w:r>
          </w:p>
        </w:tc>
      </w:tr>
      <w:tr w:rsidR="00B1525D" w:rsidRPr="00807D3E" w14:paraId="75ADD942" w14:textId="77777777" w:rsidTr="00F523D3">
        <w:tc>
          <w:tcPr>
            <w:tcW w:w="562" w:type="dxa"/>
          </w:tcPr>
          <w:p w14:paraId="4E335186" w14:textId="7290C422" w:rsidR="00B1525D" w:rsidRDefault="00B1525D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 w:rsidRPr="66761D0C">
              <w:rPr>
                <w:b w:val="0"/>
                <w:color w:val="3C3C3B" w:themeColor="accent2"/>
                <w:sz w:val="22"/>
                <w:szCs w:val="22"/>
              </w:rPr>
              <w:t>2.</w:t>
            </w:r>
            <w:r w:rsidR="00EB661C">
              <w:rPr>
                <w:b w:val="0"/>
                <w:color w:val="3C3C3B" w:themeColor="accent2"/>
                <w:sz w:val="22"/>
                <w:szCs w:val="22"/>
              </w:rPr>
              <w:t>4</w:t>
            </w:r>
          </w:p>
        </w:tc>
        <w:tc>
          <w:tcPr>
            <w:tcW w:w="9066" w:type="dxa"/>
            <w:shd w:val="clear" w:color="auto" w:fill="FFFFCC"/>
          </w:tcPr>
          <w:p w14:paraId="21CB67E2" w14:textId="557FE62F" w:rsidR="00B1525D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i)</w:t>
            </w:r>
          </w:p>
          <w:p w14:paraId="06252DD4" w14:textId="25463842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1E904E3" w14:textId="6501223A" w:rsidR="00362E05" w:rsidRDefault="00362E05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778AE73B" w14:textId="77777777" w:rsidR="008252FF" w:rsidRDefault="008252F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35D19A7" w14:textId="4813A433" w:rsidR="00661713" w:rsidRDefault="00E06544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 xml:space="preserve">[max </w:t>
            </w:r>
            <w:r w:rsidR="00362E05">
              <w:rPr>
                <w:b w:val="0"/>
                <w:color w:val="3C3C3B" w:themeColor="accent2"/>
                <w:sz w:val="22"/>
                <w:szCs w:val="22"/>
              </w:rPr>
              <w:t>2</w:t>
            </w:r>
            <w:r>
              <w:rPr>
                <w:b w:val="0"/>
                <w:color w:val="3C3C3B" w:themeColor="accent2"/>
                <w:sz w:val="22"/>
                <w:szCs w:val="22"/>
              </w:rPr>
              <w:t>00 words]</w:t>
            </w:r>
          </w:p>
        </w:tc>
      </w:tr>
      <w:tr w:rsidR="00362E05" w:rsidRPr="00807D3E" w14:paraId="40650C3E" w14:textId="77777777" w:rsidTr="00F523D3">
        <w:tc>
          <w:tcPr>
            <w:tcW w:w="562" w:type="dxa"/>
          </w:tcPr>
          <w:p w14:paraId="39839A62" w14:textId="77777777" w:rsidR="00362E05" w:rsidRPr="66761D0C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  <w:tc>
          <w:tcPr>
            <w:tcW w:w="9066" w:type="dxa"/>
            <w:shd w:val="clear" w:color="auto" w:fill="FFFFCC"/>
          </w:tcPr>
          <w:p w14:paraId="23B0D32B" w14:textId="1F431AC8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ii)</w:t>
            </w:r>
          </w:p>
          <w:p w14:paraId="6D4417A6" w14:textId="336D21D4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7CB77FAE" w14:textId="26D5AC4F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6E401F80" w14:textId="77777777" w:rsidR="008252FF" w:rsidRDefault="008252FF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08C67437" w14:textId="4C60F03B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[max 200 words]</w:t>
            </w:r>
          </w:p>
        </w:tc>
      </w:tr>
      <w:tr w:rsidR="00362E05" w:rsidRPr="00807D3E" w14:paraId="006E74AF" w14:textId="77777777" w:rsidTr="00F523D3">
        <w:tc>
          <w:tcPr>
            <w:tcW w:w="562" w:type="dxa"/>
          </w:tcPr>
          <w:p w14:paraId="77A39FA8" w14:textId="77777777" w:rsidR="00362E05" w:rsidRPr="66761D0C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</w:tc>
        <w:tc>
          <w:tcPr>
            <w:tcW w:w="9066" w:type="dxa"/>
            <w:shd w:val="clear" w:color="auto" w:fill="FFFFCC"/>
          </w:tcPr>
          <w:p w14:paraId="788B7FEA" w14:textId="3FDCB5F4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i</w:t>
            </w:r>
            <w:r w:rsidR="008252FF">
              <w:rPr>
                <w:b w:val="0"/>
                <w:color w:val="3C3C3B" w:themeColor="accent2"/>
                <w:sz w:val="22"/>
                <w:szCs w:val="22"/>
              </w:rPr>
              <w:t>ii</w:t>
            </w:r>
            <w:r>
              <w:rPr>
                <w:b w:val="0"/>
                <w:color w:val="3C3C3B" w:themeColor="accent2"/>
                <w:sz w:val="22"/>
                <w:szCs w:val="22"/>
              </w:rPr>
              <w:t>)</w:t>
            </w:r>
          </w:p>
          <w:p w14:paraId="68081415" w14:textId="77777777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DC210EC" w14:textId="2D05524F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40336E40" w14:textId="77777777" w:rsidR="008252FF" w:rsidRDefault="008252FF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B30F687" w14:textId="029F9EAE" w:rsidR="00362E05" w:rsidRDefault="00362E05" w:rsidP="00362E05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[max 200 words]</w:t>
            </w:r>
          </w:p>
        </w:tc>
      </w:tr>
      <w:tr w:rsidR="00362E05" w:rsidRPr="00807D3E" w14:paraId="4E0560DC" w14:textId="77777777" w:rsidTr="00EA1DF9">
        <w:tc>
          <w:tcPr>
            <w:tcW w:w="9628" w:type="dxa"/>
            <w:gridSpan w:val="2"/>
          </w:tcPr>
          <w:p w14:paraId="31E33F86" w14:textId="77777777" w:rsidR="00362E05" w:rsidRPr="00797DB7" w:rsidRDefault="00362E05" w:rsidP="00362E05">
            <w:pPr>
              <w:spacing w:before="120" w:line="240" w:lineRule="auto"/>
              <w:rPr>
                <w:b/>
                <w:bCs/>
              </w:rPr>
            </w:pPr>
            <w:r w:rsidRPr="00797DB7">
              <w:rPr>
                <w:b/>
                <w:bCs/>
              </w:rPr>
              <w:t>Scoring Criteria:</w:t>
            </w:r>
          </w:p>
          <w:p w14:paraId="7608C441" w14:textId="77777777" w:rsidR="00362E05" w:rsidRDefault="00362E05" w:rsidP="00362E05">
            <w:r>
              <w:t>0 – Response incomplete or does not substantively address the requirement</w:t>
            </w:r>
          </w:p>
          <w:p w14:paraId="495DE3E1" w14:textId="6BF12414" w:rsidR="00362E05" w:rsidRDefault="00362E05" w:rsidP="00362E05">
            <w:r>
              <w:t>3 – Response poor and whilst addresses the requirement</w:t>
            </w:r>
            <w:r w:rsidR="000254B8">
              <w:t>s</w:t>
            </w:r>
            <w:r>
              <w:t xml:space="preserve">, causes major concern about the </w:t>
            </w:r>
            <w:r w:rsidR="000254B8">
              <w:t>applicant’s processes</w:t>
            </w:r>
            <w:r>
              <w:t>.</w:t>
            </w:r>
          </w:p>
          <w:p w14:paraId="31FC08BA" w14:textId="0A154AAD" w:rsidR="00362E05" w:rsidRDefault="00362E05" w:rsidP="00362E05">
            <w:r>
              <w:t>7 – Response is good</w:t>
            </w:r>
            <w:r w:rsidR="000254B8">
              <w:t xml:space="preserve"> across all three components </w:t>
            </w:r>
            <w:r>
              <w:t>and caus</w:t>
            </w:r>
            <w:r w:rsidR="000254B8">
              <w:t xml:space="preserve">es </w:t>
            </w:r>
            <w:r>
              <w:t xml:space="preserve">only minor concerns about the </w:t>
            </w:r>
            <w:r w:rsidR="00C732BE">
              <w:t>applicant’s processes</w:t>
            </w:r>
            <w:r>
              <w:t>.</w:t>
            </w:r>
          </w:p>
          <w:p w14:paraId="2CE7A72E" w14:textId="7067204B" w:rsidR="00362E05" w:rsidRDefault="00362E05" w:rsidP="00362E05">
            <w:r>
              <w:t xml:space="preserve">10 – Excellent response </w:t>
            </w:r>
            <w:r w:rsidR="00C732BE">
              <w:t xml:space="preserve">giving full confidence </w:t>
            </w:r>
            <w:r w:rsidR="00E866D1">
              <w:t xml:space="preserve">in the applicant’s processes </w:t>
            </w:r>
            <w:r w:rsidR="00C732BE">
              <w:t>across the three components</w:t>
            </w:r>
            <w:r>
              <w:t>.</w:t>
            </w:r>
          </w:p>
        </w:tc>
      </w:tr>
    </w:tbl>
    <w:p w14:paraId="06D7E2EE" w14:textId="72A44D3B" w:rsidR="008C7D1C" w:rsidRDefault="008C7D1C" w:rsidP="00B1525D">
      <w:pPr>
        <w:spacing w:after="0" w:line="240" w:lineRule="auto"/>
      </w:pPr>
    </w:p>
    <w:p w14:paraId="2433D249" w14:textId="77777777" w:rsidR="008C7D1C" w:rsidRDefault="008C7D1C">
      <w:pPr>
        <w:spacing w:after="0" w:line="240" w:lineRule="auto"/>
      </w:pPr>
      <w:r>
        <w:br w:type="page"/>
      </w:r>
    </w:p>
    <w:tbl>
      <w:tblPr>
        <w:tblStyle w:val="TableGrid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  <w:gridCol w:w="7"/>
      </w:tblGrid>
      <w:tr w:rsidR="00B1525D" w:rsidRPr="00807D3E" w14:paraId="5D2067F4" w14:textId="77777777" w:rsidTr="0070008B">
        <w:trPr>
          <w:gridAfter w:val="1"/>
          <w:wAfter w:w="7" w:type="dxa"/>
        </w:trPr>
        <w:tc>
          <w:tcPr>
            <w:tcW w:w="9628" w:type="dxa"/>
            <w:gridSpan w:val="2"/>
          </w:tcPr>
          <w:p w14:paraId="5FAD2C7B" w14:textId="77777777" w:rsidR="00B1525D" w:rsidRDefault="0070008B" w:rsidP="00E866D1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E866D1">
              <w:rPr>
                <w:rFonts w:ascii="Calibri" w:eastAsia="Calibri" w:hAnsi="Calibri" w:cs="Calibri"/>
                <w:b/>
                <w:bCs/>
                <w:szCs w:val="22"/>
              </w:rPr>
              <w:lastRenderedPageBreak/>
              <w:t>3</w:t>
            </w:r>
            <w:r w:rsidR="00B1525D" w:rsidRPr="00E866D1">
              <w:rPr>
                <w:rFonts w:ascii="Calibri" w:eastAsia="Calibri" w:hAnsi="Calibri" w:cs="Calibri"/>
                <w:b/>
                <w:bCs/>
                <w:szCs w:val="22"/>
              </w:rPr>
              <w:t>.</w:t>
            </w:r>
            <w:r w:rsidR="00E866D1" w:rsidRPr="00E866D1">
              <w:rPr>
                <w:rFonts w:ascii="Calibri" w:eastAsia="Calibri" w:hAnsi="Calibri" w:cs="Calibri"/>
                <w:b/>
                <w:bCs/>
                <w:szCs w:val="22"/>
              </w:rPr>
              <w:t>1 Transparency of pricing and value for money (VFM)</w:t>
            </w:r>
          </w:p>
          <w:p w14:paraId="08E89172" w14:textId="3018B59C" w:rsidR="00E866D1" w:rsidRPr="00E866D1" w:rsidRDefault="00E866D1" w:rsidP="00E866D1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7FE18E7F">
              <w:rPr>
                <w:rFonts w:ascii="Calibri" w:eastAsia="Calibri" w:hAnsi="Calibri" w:cs="Calibri"/>
                <w:b/>
                <w:bCs/>
              </w:rPr>
              <w:t>Please provide a</w:t>
            </w:r>
            <w:r w:rsidR="00FD6D77">
              <w:rPr>
                <w:rFonts w:ascii="Calibri" w:eastAsia="Calibri" w:hAnsi="Calibri" w:cs="Calibri"/>
                <w:b/>
                <w:bCs/>
              </w:rPr>
              <w:t xml:space="preserve"> fully transparent </w:t>
            </w:r>
            <w:r w:rsidR="0024527F">
              <w:rPr>
                <w:rFonts w:ascii="Calibri" w:eastAsia="Calibri" w:hAnsi="Calibri" w:cs="Calibri"/>
                <w:b/>
                <w:bCs/>
              </w:rPr>
              <w:t>description of your proposed</w:t>
            </w:r>
            <w:r w:rsidRPr="7FE18E7F">
              <w:rPr>
                <w:rFonts w:ascii="Calibri" w:eastAsia="Calibri" w:hAnsi="Calibri" w:cs="Calibri"/>
                <w:b/>
                <w:bCs/>
              </w:rPr>
              <w:t xml:space="preserve"> charges</w:t>
            </w:r>
            <w:r w:rsidR="0024527F">
              <w:rPr>
                <w:rFonts w:ascii="Calibri" w:eastAsia="Calibri" w:hAnsi="Calibri" w:cs="Calibri"/>
                <w:b/>
                <w:bCs/>
              </w:rPr>
              <w:t xml:space="preserve"> and charging structure relevant to the ‘Scope of Work’ listed.  Please </w:t>
            </w:r>
            <w:r w:rsidRPr="7FE18E7F">
              <w:rPr>
                <w:rFonts w:ascii="Calibri" w:eastAsia="Calibri" w:hAnsi="Calibri" w:cs="Calibri"/>
                <w:b/>
                <w:bCs/>
              </w:rPr>
              <w:t>includ</w:t>
            </w:r>
            <w:r w:rsidR="00BF17B1"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Pr="7FE18E7F">
              <w:rPr>
                <w:rFonts w:ascii="Calibri" w:eastAsia="Calibri" w:hAnsi="Calibri" w:cs="Calibri"/>
                <w:b/>
                <w:bCs/>
              </w:rPr>
              <w:t>your day rate, or project management and administration costs as well as clearly stating any appropriate discounts for public sector clients.</w:t>
            </w:r>
          </w:p>
        </w:tc>
      </w:tr>
      <w:tr w:rsidR="00B1525D" w:rsidRPr="00807D3E" w14:paraId="74E6CF34" w14:textId="77777777" w:rsidTr="0070008B">
        <w:trPr>
          <w:gridAfter w:val="1"/>
          <w:wAfter w:w="7" w:type="dxa"/>
        </w:trPr>
        <w:tc>
          <w:tcPr>
            <w:tcW w:w="562" w:type="dxa"/>
          </w:tcPr>
          <w:p w14:paraId="3F40D58E" w14:textId="5CFE9FB8" w:rsidR="00B1525D" w:rsidRDefault="0070008B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3.1</w:t>
            </w:r>
          </w:p>
        </w:tc>
        <w:tc>
          <w:tcPr>
            <w:tcW w:w="9066" w:type="dxa"/>
            <w:shd w:val="clear" w:color="auto" w:fill="FFFFCC"/>
          </w:tcPr>
          <w:p w14:paraId="0C176280" w14:textId="782A7C46" w:rsidR="00B43627" w:rsidRDefault="00B43627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0EE76FA" w14:textId="27571DE1" w:rsidR="00B43627" w:rsidRDefault="00B43627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5AB24550" w14:textId="4BB24269" w:rsidR="00F371B1" w:rsidRDefault="00F371B1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10AA97B4" w14:textId="77777777" w:rsidR="00E07D6F" w:rsidRDefault="00E07D6F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</w:p>
          <w:p w14:paraId="79636356" w14:textId="7511A975" w:rsidR="00E07D6F" w:rsidRDefault="0070008B" w:rsidP="00F523D3">
            <w:pPr>
              <w:pStyle w:val="GreenSubheading"/>
              <w:spacing w:before="120" w:after="120" w:line="240" w:lineRule="auto"/>
              <w:rPr>
                <w:b w:val="0"/>
                <w:color w:val="3C3C3B" w:themeColor="accent2"/>
                <w:sz w:val="22"/>
                <w:szCs w:val="22"/>
              </w:rPr>
            </w:pPr>
            <w:r>
              <w:rPr>
                <w:b w:val="0"/>
                <w:color w:val="3C3C3B" w:themeColor="accent2"/>
                <w:sz w:val="22"/>
                <w:szCs w:val="22"/>
              </w:rPr>
              <w:t>[max 500 words]</w:t>
            </w:r>
          </w:p>
        </w:tc>
      </w:tr>
      <w:tr w:rsidR="0070008B" w14:paraId="03161A94" w14:textId="77777777" w:rsidTr="008C7D1C">
        <w:tc>
          <w:tcPr>
            <w:tcW w:w="9635" w:type="dxa"/>
            <w:gridSpan w:val="3"/>
          </w:tcPr>
          <w:p w14:paraId="24ECF983" w14:textId="77777777" w:rsidR="0070008B" w:rsidRDefault="0070008B" w:rsidP="00EA1DF9">
            <w:r w:rsidRPr="195BBF51">
              <w:rPr>
                <w:rFonts w:ascii="Calibri" w:eastAsia="Calibri" w:hAnsi="Calibri" w:cs="Calibri"/>
                <w:b/>
                <w:bCs/>
                <w:szCs w:val="22"/>
              </w:rPr>
              <w:t>Scoring Criteria:</w:t>
            </w:r>
          </w:p>
          <w:p w14:paraId="322CDE5F" w14:textId="77777777" w:rsidR="0070008B" w:rsidRDefault="0070008B" w:rsidP="00EA1DF9">
            <w:r w:rsidRPr="195BBF51">
              <w:rPr>
                <w:rFonts w:ascii="Calibri" w:eastAsia="Calibri" w:hAnsi="Calibri" w:cs="Calibri"/>
                <w:szCs w:val="22"/>
              </w:rPr>
              <w:t>0 – Response incomplete or does not substantively address the requirement</w:t>
            </w:r>
          </w:p>
          <w:p w14:paraId="7E5BBCCC" w14:textId="422EE8F9" w:rsidR="0070008B" w:rsidRDefault="0070008B" w:rsidP="00EA1DF9">
            <w:r w:rsidRPr="195BBF51">
              <w:rPr>
                <w:rFonts w:ascii="Calibri" w:eastAsia="Calibri" w:hAnsi="Calibri" w:cs="Calibri"/>
                <w:szCs w:val="22"/>
              </w:rPr>
              <w:t xml:space="preserve">3 – Response poor and whilst addresses the requirement the breakdown </w:t>
            </w:r>
            <w:r w:rsidR="00690572">
              <w:rPr>
                <w:rFonts w:ascii="Calibri" w:eastAsia="Calibri" w:hAnsi="Calibri" w:cs="Calibri"/>
                <w:szCs w:val="22"/>
              </w:rPr>
              <w:t xml:space="preserve">of charges and charging structure </w:t>
            </w:r>
            <w:r w:rsidRPr="195BBF51">
              <w:rPr>
                <w:rFonts w:ascii="Calibri" w:eastAsia="Calibri" w:hAnsi="Calibri" w:cs="Calibri"/>
                <w:szCs w:val="22"/>
              </w:rPr>
              <w:t>is vague or lacking detail and requires significant clarification.</w:t>
            </w:r>
          </w:p>
          <w:p w14:paraId="2066D998" w14:textId="6AE66A6F" w:rsidR="0070008B" w:rsidRDefault="0070008B" w:rsidP="00EA1DF9">
            <w:r w:rsidRPr="195BBF51">
              <w:rPr>
                <w:rFonts w:ascii="Calibri" w:eastAsia="Calibri" w:hAnsi="Calibri" w:cs="Calibri"/>
                <w:szCs w:val="22"/>
              </w:rPr>
              <w:t>7 – Response is good and the breakdown</w:t>
            </w:r>
            <w:r w:rsidR="00257949">
              <w:rPr>
                <w:rFonts w:ascii="Calibri" w:eastAsia="Calibri" w:hAnsi="Calibri" w:cs="Calibri"/>
                <w:szCs w:val="22"/>
              </w:rPr>
              <w:t xml:space="preserve"> of charges and charging structure </w:t>
            </w:r>
            <w:r w:rsidRPr="195BBF51">
              <w:rPr>
                <w:rFonts w:ascii="Calibri" w:eastAsia="Calibri" w:hAnsi="Calibri" w:cs="Calibri"/>
                <w:szCs w:val="22"/>
              </w:rPr>
              <w:t>is reasonably detailed and transparent, or requiring little clarification.</w:t>
            </w:r>
          </w:p>
          <w:p w14:paraId="24B65CE2" w14:textId="1E33BDE2" w:rsidR="0070008B" w:rsidRDefault="0070008B" w:rsidP="00EA1DF9">
            <w:r w:rsidRPr="5726D104">
              <w:rPr>
                <w:rFonts w:ascii="Calibri" w:eastAsia="Calibri" w:hAnsi="Calibri" w:cs="Calibri"/>
                <w:color w:val="3B3B3B"/>
              </w:rPr>
              <w:t xml:space="preserve">10 – Excellent response which provides </w:t>
            </w:r>
            <w:r w:rsidR="00C3287B">
              <w:rPr>
                <w:rFonts w:ascii="Calibri" w:eastAsia="Calibri" w:hAnsi="Calibri" w:cs="Calibri"/>
                <w:color w:val="3B3B3B"/>
              </w:rPr>
              <w:t xml:space="preserve">a </w:t>
            </w:r>
            <w:r w:rsidRPr="5726D104">
              <w:rPr>
                <w:rFonts w:ascii="Calibri" w:eastAsia="Calibri" w:hAnsi="Calibri" w:cs="Calibri"/>
                <w:color w:val="3B3B3B"/>
              </w:rPr>
              <w:t>detailed</w:t>
            </w:r>
            <w:r w:rsidR="005B1965">
              <w:rPr>
                <w:rFonts w:ascii="Calibri" w:eastAsia="Calibri" w:hAnsi="Calibri" w:cs="Calibri"/>
                <w:color w:val="3B3B3B"/>
              </w:rPr>
              <w:t xml:space="preserve"> charges and charging structure breakdown such that it is clear how future projects will be priced</w:t>
            </w:r>
            <w:r w:rsidR="009A0D5A">
              <w:rPr>
                <w:rFonts w:ascii="Calibri" w:eastAsia="Calibri" w:hAnsi="Calibri" w:cs="Calibri"/>
                <w:color w:val="3B3B3B"/>
              </w:rPr>
              <w:t xml:space="preserve">, including </w:t>
            </w:r>
            <w:r w:rsidR="00C3287B">
              <w:rPr>
                <w:rFonts w:ascii="Calibri" w:eastAsia="Calibri" w:hAnsi="Calibri" w:cs="Calibri"/>
                <w:color w:val="3B3B3B"/>
              </w:rPr>
              <w:t>how</w:t>
            </w:r>
            <w:r w:rsidR="009A0D5A">
              <w:rPr>
                <w:rFonts w:ascii="Calibri" w:eastAsia="Calibri" w:hAnsi="Calibri" w:cs="Calibri"/>
                <w:color w:val="3B3B3B"/>
              </w:rPr>
              <w:t xml:space="preserve"> </w:t>
            </w:r>
            <w:r w:rsidR="00C3287B">
              <w:rPr>
                <w:rFonts w:ascii="Calibri" w:eastAsia="Calibri" w:hAnsi="Calibri" w:cs="Calibri"/>
                <w:color w:val="3B3B3B"/>
              </w:rPr>
              <w:t xml:space="preserve">charitable/public sector </w:t>
            </w:r>
            <w:r w:rsidR="009A0D5A">
              <w:rPr>
                <w:rFonts w:ascii="Calibri" w:eastAsia="Calibri" w:hAnsi="Calibri" w:cs="Calibri"/>
                <w:color w:val="3B3B3B"/>
              </w:rPr>
              <w:t xml:space="preserve">discounts </w:t>
            </w:r>
            <w:r w:rsidR="00C3287B">
              <w:rPr>
                <w:rFonts w:ascii="Calibri" w:eastAsia="Calibri" w:hAnsi="Calibri" w:cs="Calibri"/>
                <w:color w:val="3B3B3B"/>
              </w:rPr>
              <w:t>would be applied and how VFM can be assured.</w:t>
            </w:r>
          </w:p>
        </w:tc>
      </w:tr>
    </w:tbl>
    <w:p w14:paraId="1D2B7035" w14:textId="267C715B" w:rsidR="0070008B" w:rsidRDefault="0070008B" w:rsidP="0070008B">
      <w:pPr>
        <w:spacing w:after="0" w:line="240" w:lineRule="auto"/>
      </w:pPr>
    </w:p>
    <w:sectPr w:rsidR="0070008B" w:rsidSect="005E6EDB">
      <w:pgSz w:w="11906" w:h="16838" w:code="9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FB74" w14:textId="77777777" w:rsidR="00115251" w:rsidRDefault="00115251" w:rsidP="00357E08">
      <w:r>
        <w:separator/>
      </w:r>
    </w:p>
  </w:endnote>
  <w:endnote w:type="continuationSeparator" w:id="0">
    <w:p w14:paraId="28EC78AC" w14:textId="77777777" w:rsidR="00115251" w:rsidRDefault="00115251" w:rsidP="003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AEF" w14:textId="77777777" w:rsidR="00115251" w:rsidRDefault="00115251" w:rsidP="00357E08">
      <w:r>
        <w:separator/>
      </w:r>
    </w:p>
  </w:footnote>
  <w:footnote w:type="continuationSeparator" w:id="0">
    <w:p w14:paraId="0C96AFEA" w14:textId="77777777" w:rsidR="00115251" w:rsidRDefault="00115251" w:rsidP="0035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5415" w14:textId="10A0D7C5" w:rsidR="00AF0488" w:rsidRDefault="00AF0488">
    <w:pPr>
      <w:pStyle w:val="Header"/>
    </w:pPr>
    <w:r w:rsidRPr="004E5590">
      <w:rPr>
        <w:noProof/>
      </w:rPr>
      <w:drawing>
        <wp:anchor distT="0" distB="0" distL="114300" distR="114300" simplePos="0" relativeHeight="251659264" behindDoc="1" locked="0" layoutInCell="1" allowOverlap="1" wp14:anchorId="4BA85BB2" wp14:editId="05824835">
          <wp:simplePos x="0" y="0"/>
          <wp:positionH relativeFrom="margin">
            <wp:align>left</wp:align>
          </wp:positionH>
          <wp:positionV relativeFrom="page">
            <wp:posOffset>583565</wp:posOffset>
          </wp:positionV>
          <wp:extent cx="1455420" cy="514248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ukhdra_powerpo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0" cy="51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9A1246F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3CB28C" w:themeColor="text1"/>
      </w:r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FC3F8F"/>
    <w:multiLevelType w:val="hybridMultilevel"/>
    <w:tmpl w:val="4AA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125AC"/>
    <w:multiLevelType w:val="multilevel"/>
    <w:tmpl w:val="FB48B0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293808"/>
    <w:multiLevelType w:val="hybridMultilevel"/>
    <w:tmpl w:val="71E4B97A"/>
    <w:lvl w:ilvl="0" w:tplc="F4A2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0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8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6E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E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B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6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4BFE"/>
    <w:multiLevelType w:val="multilevel"/>
    <w:tmpl w:val="003AF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7F7026"/>
    <w:multiLevelType w:val="hybridMultilevel"/>
    <w:tmpl w:val="74BE1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0213A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CBA4F23"/>
    <w:multiLevelType w:val="hybridMultilevel"/>
    <w:tmpl w:val="E6A49F62"/>
    <w:lvl w:ilvl="0" w:tplc="E0F00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  <w:color w:val="3CB28C" w:themeColor="text1"/>
      </w:rPr>
    </w:lvl>
    <w:lvl w:ilvl="1" w:tplc="C430145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  <w:color w:val="3CB28C" w:themeColor="text1"/>
      </w:rPr>
    </w:lvl>
    <w:lvl w:ilvl="2" w:tplc="2668BC6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3CB28C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B21B1"/>
    <w:multiLevelType w:val="multilevel"/>
    <w:tmpl w:val="9334C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1474B"/>
    <w:multiLevelType w:val="hybridMultilevel"/>
    <w:tmpl w:val="6E20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4491F"/>
    <w:multiLevelType w:val="hybridMultilevel"/>
    <w:tmpl w:val="C2C2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11CEA"/>
    <w:multiLevelType w:val="hybridMultilevel"/>
    <w:tmpl w:val="F578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52F4B"/>
    <w:multiLevelType w:val="hybridMultilevel"/>
    <w:tmpl w:val="34E8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E11CC"/>
    <w:multiLevelType w:val="multilevel"/>
    <w:tmpl w:val="367E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5B3400"/>
    <w:multiLevelType w:val="hybridMultilevel"/>
    <w:tmpl w:val="3B3A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40953"/>
    <w:multiLevelType w:val="multilevel"/>
    <w:tmpl w:val="ED3A76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5FA6F30"/>
    <w:multiLevelType w:val="hybridMultilevel"/>
    <w:tmpl w:val="86D8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B4869"/>
    <w:multiLevelType w:val="hybridMultilevel"/>
    <w:tmpl w:val="4C9E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6843"/>
    <w:multiLevelType w:val="hybridMultilevel"/>
    <w:tmpl w:val="87E2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975"/>
    <w:multiLevelType w:val="hybridMultilevel"/>
    <w:tmpl w:val="A5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6731F"/>
    <w:multiLevelType w:val="hybridMultilevel"/>
    <w:tmpl w:val="830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916EA"/>
    <w:multiLevelType w:val="hybridMultilevel"/>
    <w:tmpl w:val="7C3A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4737493"/>
    <w:multiLevelType w:val="hybridMultilevel"/>
    <w:tmpl w:val="FE1E7072"/>
    <w:lvl w:ilvl="0" w:tplc="3116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E3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6B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B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7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D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03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24229"/>
    <w:multiLevelType w:val="hybridMultilevel"/>
    <w:tmpl w:val="ADCCDD18"/>
    <w:lvl w:ilvl="0" w:tplc="5FD0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C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EB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8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2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0E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7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CA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EE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0850EA5"/>
    <w:multiLevelType w:val="hybridMultilevel"/>
    <w:tmpl w:val="1068E372"/>
    <w:lvl w:ilvl="0" w:tplc="6700C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A72E23"/>
    <w:multiLevelType w:val="hybridMultilevel"/>
    <w:tmpl w:val="77B4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2B5A2C"/>
    <w:multiLevelType w:val="hybridMultilevel"/>
    <w:tmpl w:val="4222A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B3996"/>
    <w:multiLevelType w:val="hybridMultilevel"/>
    <w:tmpl w:val="D9C60D7E"/>
    <w:lvl w:ilvl="0" w:tplc="1B107C76">
      <w:start w:val="1"/>
      <w:numFmt w:val="decimal"/>
      <w:lvlText w:val="%1."/>
      <w:lvlJc w:val="left"/>
      <w:pPr>
        <w:ind w:left="720" w:hanging="360"/>
      </w:pPr>
    </w:lvl>
    <w:lvl w:ilvl="1" w:tplc="4A76F800">
      <w:start w:val="1"/>
      <w:numFmt w:val="lowerLetter"/>
      <w:lvlText w:val="%2."/>
      <w:lvlJc w:val="left"/>
      <w:pPr>
        <w:ind w:left="1440" w:hanging="360"/>
      </w:pPr>
    </w:lvl>
    <w:lvl w:ilvl="2" w:tplc="998C0E62">
      <w:start w:val="1"/>
      <w:numFmt w:val="lowerRoman"/>
      <w:lvlText w:val="%3."/>
      <w:lvlJc w:val="right"/>
      <w:pPr>
        <w:ind w:left="2160" w:hanging="180"/>
      </w:pPr>
    </w:lvl>
    <w:lvl w:ilvl="3" w:tplc="25AEEF64">
      <w:start w:val="1"/>
      <w:numFmt w:val="decimal"/>
      <w:lvlText w:val="%4."/>
      <w:lvlJc w:val="left"/>
      <w:pPr>
        <w:ind w:left="2880" w:hanging="360"/>
      </w:pPr>
    </w:lvl>
    <w:lvl w:ilvl="4" w:tplc="66EE28AA">
      <w:start w:val="1"/>
      <w:numFmt w:val="lowerLetter"/>
      <w:lvlText w:val="%5."/>
      <w:lvlJc w:val="left"/>
      <w:pPr>
        <w:ind w:left="3600" w:hanging="360"/>
      </w:pPr>
    </w:lvl>
    <w:lvl w:ilvl="5" w:tplc="4BC05C78">
      <w:start w:val="1"/>
      <w:numFmt w:val="lowerRoman"/>
      <w:lvlText w:val="%6."/>
      <w:lvlJc w:val="right"/>
      <w:pPr>
        <w:ind w:left="4320" w:hanging="180"/>
      </w:pPr>
    </w:lvl>
    <w:lvl w:ilvl="6" w:tplc="CB88998A">
      <w:start w:val="1"/>
      <w:numFmt w:val="decimal"/>
      <w:lvlText w:val="%7."/>
      <w:lvlJc w:val="left"/>
      <w:pPr>
        <w:ind w:left="5040" w:hanging="360"/>
      </w:pPr>
    </w:lvl>
    <w:lvl w:ilvl="7" w:tplc="F1504FC2">
      <w:start w:val="1"/>
      <w:numFmt w:val="lowerLetter"/>
      <w:lvlText w:val="%8."/>
      <w:lvlJc w:val="left"/>
      <w:pPr>
        <w:ind w:left="5760" w:hanging="360"/>
      </w:pPr>
    </w:lvl>
    <w:lvl w:ilvl="8" w:tplc="1ED66960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1139">
    <w:abstractNumId w:val="3"/>
  </w:num>
  <w:num w:numId="2" w16cid:durableId="1019548193">
    <w:abstractNumId w:val="1"/>
  </w:num>
  <w:num w:numId="3" w16cid:durableId="1876967597">
    <w:abstractNumId w:val="2"/>
  </w:num>
  <w:num w:numId="4" w16cid:durableId="697775892">
    <w:abstractNumId w:val="0"/>
  </w:num>
  <w:num w:numId="5" w16cid:durableId="1098672458">
    <w:abstractNumId w:val="19"/>
  </w:num>
  <w:num w:numId="6" w16cid:durableId="927927832">
    <w:abstractNumId w:val="35"/>
  </w:num>
  <w:num w:numId="7" w16cid:durableId="1789348363">
    <w:abstractNumId w:val="35"/>
    <w:lvlOverride w:ilvl="0">
      <w:startOverride w:val="1"/>
    </w:lvlOverride>
  </w:num>
  <w:num w:numId="8" w16cid:durableId="217478106">
    <w:abstractNumId w:val="31"/>
  </w:num>
  <w:num w:numId="9" w16cid:durableId="1390377683">
    <w:abstractNumId w:val="34"/>
  </w:num>
  <w:num w:numId="10" w16cid:durableId="1287270659">
    <w:abstractNumId w:val="11"/>
  </w:num>
  <w:num w:numId="11" w16cid:durableId="2063017422">
    <w:abstractNumId w:val="12"/>
  </w:num>
  <w:num w:numId="12" w16cid:durableId="2007123913">
    <w:abstractNumId w:val="37"/>
  </w:num>
  <w:num w:numId="13" w16cid:durableId="1111319951">
    <w:abstractNumId w:val="6"/>
  </w:num>
  <w:num w:numId="14" w16cid:durableId="7749858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216010">
    <w:abstractNumId w:val="39"/>
  </w:num>
  <w:num w:numId="16" w16cid:durableId="933786484">
    <w:abstractNumId w:val="18"/>
  </w:num>
  <w:num w:numId="17" w16cid:durableId="1372999159">
    <w:abstractNumId w:val="30"/>
  </w:num>
  <w:num w:numId="18" w16cid:durableId="905141337">
    <w:abstractNumId w:val="8"/>
  </w:num>
  <w:num w:numId="19" w16cid:durableId="666133308">
    <w:abstractNumId w:val="13"/>
  </w:num>
  <w:num w:numId="20" w16cid:durableId="94599677">
    <w:abstractNumId w:val="22"/>
  </w:num>
  <w:num w:numId="21" w16cid:durableId="920212941">
    <w:abstractNumId w:val="15"/>
  </w:num>
  <w:num w:numId="22" w16cid:durableId="1928033176">
    <w:abstractNumId w:val="17"/>
  </w:num>
  <w:num w:numId="23" w16cid:durableId="116486620">
    <w:abstractNumId w:val="25"/>
  </w:num>
  <w:num w:numId="24" w16cid:durableId="493837902">
    <w:abstractNumId w:val="10"/>
  </w:num>
  <w:num w:numId="25" w16cid:durableId="225916298">
    <w:abstractNumId w:val="36"/>
  </w:num>
  <w:num w:numId="26" w16cid:durableId="1241795705">
    <w:abstractNumId w:val="40"/>
  </w:num>
  <w:num w:numId="27" w16cid:durableId="1372193527">
    <w:abstractNumId w:val="16"/>
  </w:num>
  <w:num w:numId="28" w16cid:durableId="474874944">
    <w:abstractNumId w:val="29"/>
  </w:num>
  <w:num w:numId="29" w16cid:durableId="35932665">
    <w:abstractNumId w:val="4"/>
  </w:num>
  <w:num w:numId="30" w16cid:durableId="596255490">
    <w:abstractNumId w:val="20"/>
  </w:num>
  <w:num w:numId="31" w16cid:durableId="1600138450">
    <w:abstractNumId w:val="5"/>
  </w:num>
  <w:num w:numId="32" w16cid:durableId="1277984651">
    <w:abstractNumId w:val="23"/>
  </w:num>
  <w:num w:numId="33" w16cid:durableId="850417721">
    <w:abstractNumId w:val="26"/>
  </w:num>
  <w:num w:numId="34" w16cid:durableId="859584341">
    <w:abstractNumId w:val="21"/>
  </w:num>
  <w:num w:numId="35" w16cid:durableId="69160329">
    <w:abstractNumId w:val="14"/>
  </w:num>
  <w:num w:numId="36" w16cid:durableId="1687368854">
    <w:abstractNumId w:val="9"/>
  </w:num>
  <w:num w:numId="37" w16cid:durableId="640580813">
    <w:abstractNumId w:val="38"/>
  </w:num>
  <w:num w:numId="38" w16cid:durableId="102650235">
    <w:abstractNumId w:val="28"/>
  </w:num>
  <w:num w:numId="39" w16cid:durableId="365906340">
    <w:abstractNumId w:val="33"/>
  </w:num>
  <w:num w:numId="40" w16cid:durableId="525100450">
    <w:abstractNumId w:val="7"/>
  </w:num>
  <w:num w:numId="41" w16cid:durableId="1104886742">
    <w:abstractNumId w:val="41"/>
  </w:num>
  <w:num w:numId="42" w16cid:durableId="627245972">
    <w:abstractNumId w:val="32"/>
  </w:num>
  <w:num w:numId="43" w16cid:durableId="28840301">
    <w:abstractNumId w:val="27"/>
  </w:num>
  <w:num w:numId="44" w16cid:durableId="11234217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CA"/>
    <w:rsid w:val="000005FE"/>
    <w:rsid w:val="000131A3"/>
    <w:rsid w:val="00014B89"/>
    <w:rsid w:val="00014FAE"/>
    <w:rsid w:val="00021A39"/>
    <w:rsid w:val="00022148"/>
    <w:rsid w:val="000254B8"/>
    <w:rsid w:val="00025E7D"/>
    <w:rsid w:val="00031E7E"/>
    <w:rsid w:val="000376DE"/>
    <w:rsid w:val="00037C17"/>
    <w:rsid w:val="000429AC"/>
    <w:rsid w:val="00042A9D"/>
    <w:rsid w:val="00042B6A"/>
    <w:rsid w:val="00042B99"/>
    <w:rsid w:val="00055FDD"/>
    <w:rsid w:val="00061605"/>
    <w:rsid w:val="000637A6"/>
    <w:rsid w:val="00066BBA"/>
    <w:rsid w:val="000702A2"/>
    <w:rsid w:val="00071509"/>
    <w:rsid w:val="00072B1C"/>
    <w:rsid w:val="000734F2"/>
    <w:rsid w:val="00083DD5"/>
    <w:rsid w:val="00087816"/>
    <w:rsid w:val="0009390F"/>
    <w:rsid w:val="0009596E"/>
    <w:rsid w:val="000A7FBE"/>
    <w:rsid w:val="000C20BD"/>
    <w:rsid w:val="000C5EA5"/>
    <w:rsid w:val="000C6BDD"/>
    <w:rsid w:val="000D2DE0"/>
    <w:rsid w:val="000D3ADE"/>
    <w:rsid w:val="000F5C22"/>
    <w:rsid w:val="00101509"/>
    <w:rsid w:val="0010462B"/>
    <w:rsid w:val="00111058"/>
    <w:rsid w:val="00115251"/>
    <w:rsid w:val="00115E8B"/>
    <w:rsid w:val="00117C43"/>
    <w:rsid w:val="00121BD8"/>
    <w:rsid w:val="00123AD3"/>
    <w:rsid w:val="00125C0E"/>
    <w:rsid w:val="00130191"/>
    <w:rsid w:val="001310AD"/>
    <w:rsid w:val="00150FAC"/>
    <w:rsid w:val="00161F2A"/>
    <w:rsid w:val="001708B9"/>
    <w:rsid w:val="0017280D"/>
    <w:rsid w:val="00173AC7"/>
    <w:rsid w:val="001757CE"/>
    <w:rsid w:val="001801F6"/>
    <w:rsid w:val="00180BDA"/>
    <w:rsid w:val="0018108F"/>
    <w:rsid w:val="00186FC8"/>
    <w:rsid w:val="001907C5"/>
    <w:rsid w:val="00196E8F"/>
    <w:rsid w:val="001975EF"/>
    <w:rsid w:val="0019765A"/>
    <w:rsid w:val="001A0958"/>
    <w:rsid w:val="001A1537"/>
    <w:rsid w:val="001A45CF"/>
    <w:rsid w:val="001B33A4"/>
    <w:rsid w:val="001B5C19"/>
    <w:rsid w:val="001C0674"/>
    <w:rsid w:val="001C06DB"/>
    <w:rsid w:val="001C7D1B"/>
    <w:rsid w:val="001D03A7"/>
    <w:rsid w:val="001D2348"/>
    <w:rsid w:val="001D5C9C"/>
    <w:rsid w:val="001D7CA5"/>
    <w:rsid w:val="001E7696"/>
    <w:rsid w:val="001E7D3E"/>
    <w:rsid w:val="001F52E6"/>
    <w:rsid w:val="001F61B8"/>
    <w:rsid w:val="00201911"/>
    <w:rsid w:val="00210C0E"/>
    <w:rsid w:val="00216CF6"/>
    <w:rsid w:val="00220CCF"/>
    <w:rsid w:val="00227EB7"/>
    <w:rsid w:val="00231B44"/>
    <w:rsid w:val="002340B6"/>
    <w:rsid w:val="00234BA2"/>
    <w:rsid w:val="002372E0"/>
    <w:rsid w:val="0024527F"/>
    <w:rsid w:val="00252DA0"/>
    <w:rsid w:val="00253D2A"/>
    <w:rsid w:val="00253D2F"/>
    <w:rsid w:val="002555CA"/>
    <w:rsid w:val="002559EB"/>
    <w:rsid w:val="00255D53"/>
    <w:rsid w:val="00257949"/>
    <w:rsid w:val="00257A5A"/>
    <w:rsid w:val="0026422D"/>
    <w:rsid w:val="0026715E"/>
    <w:rsid w:val="00272585"/>
    <w:rsid w:val="00297214"/>
    <w:rsid w:val="002A7352"/>
    <w:rsid w:val="002B1C52"/>
    <w:rsid w:val="002B533B"/>
    <w:rsid w:val="002C5FEA"/>
    <w:rsid w:val="002C690A"/>
    <w:rsid w:val="002D41F7"/>
    <w:rsid w:val="002D4BF6"/>
    <w:rsid w:val="002D6B3E"/>
    <w:rsid w:val="002D73E6"/>
    <w:rsid w:val="002E1C00"/>
    <w:rsid w:val="002E7099"/>
    <w:rsid w:val="002E73E7"/>
    <w:rsid w:val="002F2771"/>
    <w:rsid w:val="00300BE3"/>
    <w:rsid w:val="0030633B"/>
    <w:rsid w:val="003121C1"/>
    <w:rsid w:val="00314815"/>
    <w:rsid w:val="00316036"/>
    <w:rsid w:val="0032373B"/>
    <w:rsid w:val="00330595"/>
    <w:rsid w:val="003333CD"/>
    <w:rsid w:val="003337FF"/>
    <w:rsid w:val="00337680"/>
    <w:rsid w:val="003379E6"/>
    <w:rsid w:val="003403A8"/>
    <w:rsid w:val="00341BEB"/>
    <w:rsid w:val="0035144D"/>
    <w:rsid w:val="00355C1E"/>
    <w:rsid w:val="00357E08"/>
    <w:rsid w:val="00357E4F"/>
    <w:rsid w:val="00360714"/>
    <w:rsid w:val="00362E05"/>
    <w:rsid w:val="00375EB8"/>
    <w:rsid w:val="00377AE4"/>
    <w:rsid w:val="003863C7"/>
    <w:rsid w:val="0039181B"/>
    <w:rsid w:val="003A3C04"/>
    <w:rsid w:val="003A6456"/>
    <w:rsid w:val="003B74BB"/>
    <w:rsid w:val="003C12AF"/>
    <w:rsid w:val="003C1C92"/>
    <w:rsid w:val="003C33B6"/>
    <w:rsid w:val="003C4DE4"/>
    <w:rsid w:val="003C537C"/>
    <w:rsid w:val="003D7188"/>
    <w:rsid w:val="003E0A4D"/>
    <w:rsid w:val="003E138D"/>
    <w:rsid w:val="003E1820"/>
    <w:rsid w:val="003E49A6"/>
    <w:rsid w:val="003E7152"/>
    <w:rsid w:val="003F0412"/>
    <w:rsid w:val="003F0FC9"/>
    <w:rsid w:val="00404297"/>
    <w:rsid w:val="00404974"/>
    <w:rsid w:val="004052BC"/>
    <w:rsid w:val="00412EA0"/>
    <w:rsid w:val="00425F70"/>
    <w:rsid w:val="0044558B"/>
    <w:rsid w:val="004509E3"/>
    <w:rsid w:val="00451AD9"/>
    <w:rsid w:val="004635DE"/>
    <w:rsid w:val="00473614"/>
    <w:rsid w:val="00483237"/>
    <w:rsid w:val="004860A3"/>
    <w:rsid w:val="00492B4D"/>
    <w:rsid w:val="004A0DCC"/>
    <w:rsid w:val="004A4F7E"/>
    <w:rsid w:val="004A549A"/>
    <w:rsid w:val="004A5B14"/>
    <w:rsid w:val="004B1BC6"/>
    <w:rsid w:val="004B6209"/>
    <w:rsid w:val="004C5B62"/>
    <w:rsid w:val="004C6C70"/>
    <w:rsid w:val="004D49FC"/>
    <w:rsid w:val="004E2A96"/>
    <w:rsid w:val="004E6CDB"/>
    <w:rsid w:val="004F010D"/>
    <w:rsid w:val="004F47B4"/>
    <w:rsid w:val="004F4A4B"/>
    <w:rsid w:val="00500254"/>
    <w:rsid w:val="0050088C"/>
    <w:rsid w:val="00501EFF"/>
    <w:rsid w:val="0050755F"/>
    <w:rsid w:val="00524033"/>
    <w:rsid w:val="00524124"/>
    <w:rsid w:val="00526331"/>
    <w:rsid w:val="005270F9"/>
    <w:rsid w:val="00536417"/>
    <w:rsid w:val="005405E5"/>
    <w:rsid w:val="00542DB0"/>
    <w:rsid w:val="005439A9"/>
    <w:rsid w:val="00543BA8"/>
    <w:rsid w:val="00557E3A"/>
    <w:rsid w:val="00563C6F"/>
    <w:rsid w:val="0057203C"/>
    <w:rsid w:val="00573556"/>
    <w:rsid w:val="00573D2F"/>
    <w:rsid w:val="00580DF9"/>
    <w:rsid w:val="005843DE"/>
    <w:rsid w:val="0059682F"/>
    <w:rsid w:val="005A561E"/>
    <w:rsid w:val="005B1965"/>
    <w:rsid w:val="005B4873"/>
    <w:rsid w:val="005B6B53"/>
    <w:rsid w:val="005C1980"/>
    <w:rsid w:val="005C2C17"/>
    <w:rsid w:val="005C36D9"/>
    <w:rsid w:val="005D111E"/>
    <w:rsid w:val="005D5512"/>
    <w:rsid w:val="005E46E5"/>
    <w:rsid w:val="005F405C"/>
    <w:rsid w:val="005F525A"/>
    <w:rsid w:val="005F54F5"/>
    <w:rsid w:val="005F6A17"/>
    <w:rsid w:val="005F74C0"/>
    <w:rsid w:val="00605199"/>
    <w:rsid w:val="0061403E"/>
    <w:rsid w:val="00624C5E"/>
    <w:rsid w:val="0063201C"/>
    <w:rsid w:val="00640451"/>
    <w:rsid w:val="00641ABA"/>
    <w:rsid w:val="006430BC"/>
    <w:rsid w:val="00661713"/>
    <w:rsid w:val="00671EC0"/>
    <w:rsid w:val="00676F48"/>
    <w:rsid w:val="0067770B"/>
    <w:rsid w:val="00686056"/>
    <w:rsid w:val="00690572"/>
    <w:rsid w:val="006A473D"/>
    <w:rsid w:val="006A7268"/>
    <w:rsid w:val="006B05F4"/>
    <w:rsid w:val="006B16E0"/>
    <w:rsid w:val="006B4816"/>
    <w:rsid w:val="006C531E"/>
    <w:rsid w:val="006C5AD3"/>
    <w:rsid w:val="006C617F"/>
    <w:rsid w:val="006D6A17"/>
    <w:rsid w:val="006D7270"/>
    <w:rsid w:val="006E0954"/>
    <w:rsid w:val="006E56F3"/>
    <w:rsid w:val="006E6FC0"/>
    <w:rsid w:val="0070008B"/>
    <w:rsid w:val="00704A9E"/>
    <w:rsid w:val="00706F2C"/>
    <w:rsid w:val="007172D9"/>
    <w:rsid w:val="00720888"/>
    <w:rsid w:val="00721E99"/>
    <w:rsid w:val="00726E6E"/>
    <w:rsid w:val="0072746D"/>
    <w:rsid w:val="00734C1B"/>
    <w:rsid w:val="00741BD7"/>
    <w:rsid w:val="007449D4"/>
    <w:rsid w:val="007516F0"/>
    <w:rsid w:val="00752A95"/>
    <w:rsid w:val="00753A99"/>
    <w:rsid w:val="00757C99"/>
    <w:rsid w:val="007629F8"/>
    <w:rsid w:val="0076614E"/>
    <w:rsid w:val="00767D99"/>
    <w:rsid w:val="007703A2"/>
    <w:rsid w:val="00787E20"/>
    <w:rsid w:val="0079028D"/>
    <w:rsid w:val="0079143D"/>
    <w:rsid w:val="0079305A"/>
    <w:rsid w:val="00795877"/>
    <w:rsid w:val="007A4669"/>
    <w:rsid w:val="007A64DF"/>
    <w:rsid w:val="007B0612"/>
    <w:rsid w:val="007B2FB1"/>
    <w:rsid w:val="007C008A"/>
    <w:rsid w:val="007C3031"/>
    <w:rsid w:val="007C4FE4"/>
    <w:rsid w:val="007C65E1"/>
    <w:rsid w:val="007C7568"/>
    <w:rsid w:val="007C7944"/>
    <w:rsid w:val="007E03C0"/>
    <w:rsid w:val="007E2836"/>
    <w:rsid w:val="007E568A"/>
    <w:rsid w:val="007E5FD0"/>
    <w:rsid w:val="007E6F66"/>
    <w:rsid w:val="007F4480"/>
    <w:rsid w:val="007F4828"/>
    <w:rsid w:val="008127CC"/>
    <w:rsid w:val="00813DBC"/>
    <w:rsid w:val="00813F7A"/>
    <w:rsid w:val="00822FC7"/>
    <w:rsid w:val="0082520E"/>
    <w:rsid w:val="008252FF"/>
    <w:rsid w:val="00830C38"/>
    <w:rsid w:val="00837158"/>
    <w:rsid w:val="0084133C"/>
    <w:rsid w:val="0084229D"/>
    <w:rsid w:val="008517F4"/>
    <w:rsid w:val="00856A0E"/>
    <w:rsid w:val="00864686"/>
    <w:rsid w:val="00872FD2"/>
    <w:rsid w:val="00873D35"/>
    <w:rsid w:val="00876869"/>
    <w:rsid w:val="00883725"/>
    <w:rsid w:val="00894F9A"/>
    <w:rsid w:val="008C0C02"/>
    <w:rsid w:val="008C0EAA"/>
    <w:rsid w:val="008C5A91"/>
    <w:rsid w:val="008C5CAC"/>
    <w:rsid w:val="008C7D1C"/>
    <w:rsid w:val="008D2501"/>
    <w:rsid w:val="008D4A88"/>
    <w:rsid w:val="008E1C7D"/>
    <w:rsid w:val="008E7898"/>
    <w:rsid w:val="008E7B8E"/>
    <w:rsid w:val="008E7ED3"/>
    <w:rsid w:val="008F1BF9"/>
    <w:rsid w:val="008F42A4"/>
    <w:rsid w:val="00900C45"/>
    <w:rsid w:val="00900FD3"/>
    <w:rsid w:val="00905422"/>
    <w:rsid w:val="00906972"/>
    <w:rsid w:val="0091699F"/>
    <w:rsid w:val="00923C66"/>
    <w:rsid w:val="00923CFE"/>
    <w:rsid w:val="0092419C"/>
    <w:rsid w:val="00930258"/>
    <w:rsid w:val="00930A39"/>
    <w:rsid w:val="00930C91"/>
    <w:rsid w:val="009350F0"/>
    <w:rsid w:val="00937C08"/>
    <w:rsid w:val="00943000"/>
    <w:rsid w:val="00950A34"/>
    <w:rsid w:val="009625C8"/>
    <w:rsid w:val="0097454A"/>
    <w:rsid w:val="009758D5"/>
    <w:rsid w:val="00977BEA"/>
    <w:rsid w:val="00982D8D"/>
    <w:rsid w:val="009851AB"/>
    <w:rsid w:val="00991538"/>
    <w:rsid w:val="0099372E"/>
    <w:rsid w:val="00995104"/>
    <w:rsid w:val="009A0464"/>
    <w:rsid w:val="009A0D5A"/>
    <w:rsid w:val="009A3F26"/>
    <w:rsid w:val="009A44A5"/>
    <w:rsid w:val="009A5651"/>
    <w:rsid w:val="009B2D95"/>
    <w:rsid w:val="009B7D10"/>
    <w:rsid w:val="009C2664"/>
    <w:rsid w:val="009C403B"/>
    <w:rsid w:val="009C40F3"/>
    <w:rsid w:val="009C62FA"/>
    <w:rsid w:val="009D1488"/>
    <w:rsid w:val="009D3564"/>
    <w:rsid w:val="009E006D"/>
    <w:rsid w:val="009E0A65"/>
    <w:rsid w:val="009E5122"/>
    <w:rsid w:val="009F0249"/>
    <w:rsid w:val="009F4BA6"/>
    <w:rsid w:val="00A05015"/>
    <w:rsid w:val="00A17957"/>
    <w:rsid w:val="00A32258"/>
    <w:rsid w:val="00A33333"/>
    <w:rsid w:val="00A33931"/>
    <w:rsid w:val="00A348BF"/>
    <w:rsid w:val="00A37ED2"/>
    <w:rsid w:val="00A43B3E"/>
    <w:rsid w:val="00A4688F"/>
    <w:rsid w:val="00A501F1"/>
    <w:rsid w:val="00A617C1"/>
    <w:rsid w:val="00A64811"/>
    <w:rsid w:val="00A659E1"/>
    <w:rsid w:val="00A71609"/>
    <w:rsid w:val="00A72877"/>
    <w:rsid w:val="00A80E26"/>
    <w:rsid w:val="00A849F8"/>
    <w:rsid w:val="00A85445"/>
    <w:rsid w:val="00A9095F"/>
    <w:rsid w:val="00AA34E3"/>
    <w:rsid w:val="00AA6DE0"/>
    <w:rsid w:val="00AA7314"/>
    <w:rsid w:val="00AB3DD5"/>
    <w:rsid w:val="00AC1D94"/>
    <w:rsid w:val="00AC3681"/>
    <w:rsid w:val="00AC447F"/>
    <w:rsid w:val="00AC5A19"/>
    <w:rsid w:val="00AE469B"/>
    <w:rsid w:val="00AE710A"/>
    <w:rsid w:val="00AF0488"/>
    <w:rsid w:val="00AF28D2"/>
    <w:rsid w:val="00AF4B71"/>
    <w:rsid w:val="00B00323"/>
    <w:rsid w:val="00B020E4"/>
    <w:rsid w:val="00B14D94"/>
    <w:rsid w:val="00B1525D"/>
    <w:rsid w:val="00B15321"/>
    <w:rsid w:val="00B21339"/>
    <w:rsid w:val="00B262AB"/>
    <w:rsid w:val="00B33CB7"/>
    <w:rsid w:val="00B43627"/>
    <w:rsid w:val="00B474AC"/>
    <w:rsid w:val="00B55B00"/>
    <w:rsid w:val="00B61503"/>
    <w:rsid w:val="00B616A4"/>
    <w:rsid w:val="00B617CD"/>
    <w:rsid w:val="00B65C23"/>
    <w:rsid w:val="00B66BEA"/>
    <w:rsid w:val="00B67950"/>
    <w:rsid w:val="00B67C7C"/>
    <w:rsid w:val="00B713D3"/>
    <w:rsid w:val="00B76AF5"/>
    <w:rsid w:val="00B802C2"/>
    <w:rsid w:val="00B805E0"/>
    <w:rsid w:val="00B8443E"/>
    <w:rsid w:val="00B84EDC"/>
    <w:rsid w:val="00B92AC3"/>
    <w:rsid w:val="00BA5D60"/>
    <w:rsid w:val="00BB185D"/>
    <w:rsid w:val="00BB4185"/>
    <w:rsid w:val="00BB48AE"/>
    <w:rsid w:val="00BB6CB3"/>
    <w:rsid w:val="00BC266F"/>
    <w:rsid w:val="00BC36BE"/>
    <w:rsid w:val="00BC4AF0"/>
    <w:rsid w:val="00BD13EF"/>
    <w:rsid w:val="00BD297C"/>
    <w:rsid w:val="00BD381E"/>
    <w:rsid w:val="00BD66B7"/>
    <w:rsid w:val="00BE1314"/>
    <w:rsid w:val="00BE48D2"/>
    <w:rsid w:val="00BE7E9D"/>
    <w:rsid w:val="00BF17B1"/>
    <w:rsid w:val="00BF18FA"/>
    <w:rsid w:val="00C04DCF"/>
    <w:rsid w:val="00C05400"/>
    <w:rsid w:val="00C06177"/>
    <w:rsid w:val="00C075EA"/>
    <w:rsid w:val="00C1644D"/>
    <w:rsid w:val="00C22033"/>
    <w:rsid w:val="00C23990"/>
    <w:rsid w:val="00C25EC1"/>
    <w:rsid w:val="00C26A81"/>
    <w:rsid w:val="00C311D2"/>
    <w:rsid w:val="00C3287B"/>
    <w:rsid w:val="00C34C43"/>
    <w:rsid w:val="00C44EDE"/>
    <w:rsid w:val="00C50A26"/>
    <w:rsid w:val="00C5389F"/>
    <w:rsid w:val="00C61AC6"/>
    <w:rsid w:val="00C62341"/>
    <w:rsid w:val="00C702C7"/>
    <w:rsid w:val="00C732BE"/>
    <w:rsid w:val="00C82C6F"/>
    <w:rsid w:val="00C84A7E"/>
    <w:rsid w:val="00C8703B"/>
    <w:rsid w:val="00CA2F8E"/>
    <w:rsid w:val="00CA4E63"/>
    <w:rsid w:val="00CA5712"/>
    <w:rsid w:val="00CA5B05"/>
    <w:rsid w:val="00CB71E2"/>
    <w:rsid w:val="00CC5E8F"/>
    <w:rsid w:val="00CC74B8"/>
    <w:rsid w:val="00CD49FF"/>
    <w:rsid w:val="00CF3B38"/>
    <w:rsid w:val="00CF7F7F"/>
    <w:rsid w:val="00D005AA"/>
    <w:rsid w:val="00D1026F"/>
    <w:rsid w:val="00D236E8"/>
    <w:rsid w:val="00D27B73"/>
    <w:rsid w:val="00D35105"/>
    <w:rsid w:val="00D36D61"/>
    <w:rsid w:val="00D4280C"/>
    <w:rsid w:val="00D5297D"/>
    <w:rsid w:val="00D52A6A"/>
    <w:rsid w:val="00D52AE0"/>
    <w:rsid w:val="00D61DFC"/>
    <w:rsid w:val="00D624A3"/>
    <w:rsid w:val="00D62AC6"/>
    <w:rsid w:val="00D743F4"/>
    <w:rsid w:val="00D815D0"/>
    <w:rsid w:val="00D93BB3"/>
    <w:rsid w:val="00D93CED"/>
    <w:rsid w:val="00D948AB"/>
    <w:rsid w:val="00DA1962"/>
    <w:rsid w:val="00DA7AD4"/>
    <w:rsid w:val="00DB0CB1"/>
    <w:rsid w:val="00DB5D79"/>
    <w:rsid w:val="00DC4D91"/>
    <w:rsid w:val="00DD21FF"/>
    <w:rsid w:val="00DD6A6B"/>
    <w:rsid w:val="00DF1374"/>
    <w:rsid w:val="00DF1700"/>
    <w:rsid w:val="00DF4B62"/>
    <w:rsid w:val="00E030F5"/>
    <w:rsid w:val="00E0517E"/>
    <w:rsid w:val="00E05D9F"/>
    <w:rsid w:val="00E06544"/>
    <w:rsid w:val="00E07D6F"/>
    <w:rsid w:val="00E146BA"/>
    <w:rsid w:val="00E26113"/>
    <w:rsid w:val="00E266A4"/>
    <w:rsid w:val="00E35306"/>
    <w:rsid w:val="00E35847"/>
    <w:rsid w:val="00E51605"/>
    <w:rsid w:val="00E56F4A"/>
    <w:rsid w:val="00E62880"/>
    <w:rsid w:val="00E80A5B"/>
    <w:rsid w:val="00E866D1"/>
    <w:rsid w:val="00E87432"/>
    <w:rsid w:val="00E904F9"/>
    <w:rsid w:val="00E943B8"/>
    <w:rsid w:val="00EB209E"/>
    <w:rsid w:val="00EB2F8F"/>
    <w:rsid w:val="00EB5CD1"/>
    <w:rsid w:val="00EB661C"/>
    <w:rsid w:val="00EC479A"/>
    <w:rsid w:val="00ED287D"/>
    <w:rsid w:val="00ED423D"/>
    <w:rsid w:val="00ED5FE2"/>
    <w:rsid w:val="00EE16D4"/>
    <w:rsid w:val="00EE2C87"/>
    <w:rsid w:val="00EF2A8C"/>
    <w:rsid w:val="00EF2D0B"/>
    <w:rsid w:val="00EF3D9D"/>
    <w:rsid w:val="00EF4086"/>
    <w:rsid w:val="00F045B9"/>
    <w:rsid w:val="00F13751"/>
    <w:rsid w:val="00F15F5C"/>
    <w:rsid w:val="00F17C9A"/>
    <w:rsid w:val="00F237DE"/>
    <w:rsid w:val="00F30727"/>
    <w:rsid w:val="00F3081C"/>
    <w:rsid w:val="00F31A63"/>
    <w:rsid w:val="00F371B1"/>
    <w:rsid w:val="00F448EC"/>
    <w:rsid w:val="00F565A3"/>
    <w:rsid w:val="00F64334"/>
    <w:rsid w:val="00F7435C"/>
    <w:rsid w:val="00F90137"/>
    <w:rsid w:val="00F90A6C"/>
    <w:rsid w:val="00F9119D"/>
    <w:rsid w:val="00F91FD7"/>
    <w:rsid w:val="00FA46C2"/>
    <w:rsid w:val="00FC496B"/>
    <w:rsid w:val="00FC5C06"/>
    <w:rsid w:val="00FD505C"/>
    <w:rsid w:val="00FD6D77"/>
    <w:rsid w:val="00FE7E6F"/>
    <w:rsid w:val="00FF0D99"/>
    <w:rsid w:val="0DCAF6D3"/>
    <w:rsid w:val="1DE29D4B"/>
    <w:rsid w:val="3ABBF55C"/>
    <w:rsid w:val="6E2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47317"/>
  <w15:chartTrackingRefBased/>
  <w15:docId w15:val="{BEBBA0D4-64E4-4879-A550-19C5DE7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EB"/>
    <w:pPr>
      <w:spacing w:after="120" w:line="276" w:lineRule="auto"/>
    </w:pPr>
    <w:rPr>
      <w:color w:val="3C3C3B" w:themeColor="accent2"/>
      <w:sz w:val="22"/>
      <w:szCs w:val="20"/>
    </w:rPr>
  </w:style>
  <w:style w:type="paragraph" w:styleId="Heading1">
    <w:name w:val="heading 1"/>
    <w:aliases w:val="Cover Heading 1"/>
    <w:basedOn w:val="Normal"/>
    <w:next w:val="Normal"/>
    <w:link w:val="Heading1Char"/>
    <w:uiPriority w:val="9"/>
    <w:qFormat/>
    <w:rsid w:val="00F90A6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paragraph" w:styleId="Heading2">
    <w:name w:val="heading 2"/>
    <w:aliases w:val="Cover Subheading"/>
    <w:basedOn w:val="Normal"/>
    <w:next w:val="Normal"/>
    <w:link w:val="Heading2Char"/>
    <w:uiPriority w:val="9"/>
    <w:qFormat/>
    <w:rsid w:val="00F90A6C"/>
    <w:pPr>
      <w:keepNext/>
      <w:keepLines/>
      <w:spacing w:after="454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3CB28C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Heading 1 Char"/>
    <w:basedOn w:val="DefaultParagraphFont"/>
    <w:link w:val="Heading1"/>
    <w:uiPriority w:val="9"/>
    <w:rsid w:val="00F90A6C"/>
    <w:rPr>
      <w:rFonts w:asciiTheme="majorHAnsi" w:eastAsiaTheme="majorEastAsia" w:hAnsiTheme="majorHAnsi" w:cstheme="majorBidi"/>
      <w:b/>
      <w:bCs/>
      <w:noProof/>
      <w:color w:val="FFFFFF" w:themeColor="background1"/>
      <w:sz w:val="48"/>
      <w:szCs w:val="48"/>
    </w:rPr>
  </w:style>
  <w:style w:type="character" w:customStyle="1" w:styleId="Heading2Char">
    <w:name w:val="Heading 2 Char"/>
    <w:aliases w:val="Cover Subheading Char"/>
    <w:basedOn w:val="DefaultParagraphFont"/>
    <w:link w:val="Heading2"/>
    <w:uiPriority w:val="9"/>
    <w:rsid w:val="00F90A6C"/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basedOn w:val="Normal"/>
    <w:link w:val="FooterChar"/>
    <w:uiPriority w:val="99"/>
    <w:rsid w:val="0079143D"/>
    <w:pPr>
      <w:tabs>
        <w:tab w:val="right" w:pos="7371"/>
      </w:tabs>
      <w:spacing w:after="57" w:line="180" w:lineRule="atLeast"/>
      <w:contextualSpacing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9143D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ListParagraph"/>
    <w:uiPriority w:val="99"/>
    <w:qFormat/>
    <w:rsid w:val="00357E08"/>
    <w:pPr>
      <w:numPr>
        <w:numId w:val="19"/>
      </w:numPr>
      <w:ind w:left="210" w:hanging="210"/>
    </w:pPr>
  </w:style>
  <w:style w:type="paragraph" w:styleId="ListBullet2">
    <w:name w:val="List Bullet 2"/>
    <w:basedOn w:val="ListParagraph"/>
    <w:uiPriority w:val="99"/>
    <w:qFormat/>
    <w:rsid w:val="00357E08"/>
    <w:pPr>
      <w:numPr>
        <w:ilvl w:val="1"/>
        <w:numId w:val="19"/>
      </w:numPr>
      <w:ind w:left="448" w:hanging="210"/>
    </w:pPr>
  </w:style>
  <w:style w:type="paragraph" w:styleId="ListNumber">
    <w:name w:val="List Number"/>
    <w:basedOn w:val="Normal"/>
    <w:uiPriority w:val="99"/>
    <w:qFormat/>
    <w:rsid w:val="00357E08"/>
    <w:pPr>
      <w:numPr>
        <w:numId w:val="3"/>
      </w:numPr>
      <w:ind w:left="266" w:hanging="266"/>
      <w:contextualSpacing/>
    </w:pPr>
  </w:style>
  <w:style w:type="paragraph" w:styleId="ListNumber2">
    <w:name w:val="List Number 2"/>
    <w:basedOn w:val="ListNumber"/>
    <w:uiPriority w:val="99"/>
    <w:qFormat/>
    <w:rsid w:val="00357E08"/>
    <w:pPr>
      <w:ind w:left="546" w:hanging="29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3CB28C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Registrationdetails">
    <w:name w:val="Registration details"/>
    <w:rsid w:val="0079028D"/>
    <w:pPr>
      <w:spacing w:line="180" w:lineRule="atLeast"/>
    </w:pPr>
    <w:rPr>
      <w:color w:val="8A8A88" w:themeColor="accent2" w:themeTint="99"/>
      <w:sz w:val="12"/>
    </w:rPr>
  </w:style>
  <w:style w:type="paragraph" w:customStyle="1" w:styleId="Footerbold">
    <w:name w:val="Footer bold"/>
    <w:basedOn w:val="Footer"/>
    <w:rsid w:val="0079143D"/>
    <w:pPr>
      <w:spacing w:after="0" w:line="200" w:lineRule="atLeast"/>
      <w:contextualSpacing w:val="0"/>
    </w:pPr>
    <w:rPr>
      <w:b/>
    </w:rPr>
  </w:style>
  <w:style w:type="paragraph" w:customStyle="1" w:styleId="Contactdetails">
    <w:name w:val="Contact details"/>
    <w:basedOn w:val="BasicParagraph"/>
    <w:next w:val="Normal"/>
    <w:rsid w:val="0079028D"/>
    <w:pPr>
      <w:spacing w:line="276" w:lineRule="auto"/>
    </w:pPr>
    <w:rPr>
      <w:rFonts w:ascii="Calibri" w:hAnsi="Calibri" w:cs="Calibri"/>
      <w:color w:val="3C3C3B" w:themeColor="accent2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42A9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55F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GreenHeading1">
    <w:name w:val="Green Heading 1"/>
    <w:basedOn w:val="Heading1"/>
    <w:qFormat/>
    <w:rsid w:val="003F0FC9"/>
    <w:rPr>
      <w:color w:val="3CB28C" w:themeColor="text1"/>
    </w:rPr>
  </w:style>
  <w:style w:type="paragraph" w:customStyle="1" w:styleId="GreenSubheading">
    <w:name w:val="Green Subheading"/>
    <w:basedOn w:val="Heading2"/>
    <w:qFormat/>
    <w:rsid w:val="003F0FC9"/>
    <w:rPr>
      <w:color w:val="3CB28C" w:themeColor="text1"/>
    </w:rPr>
  </w:style>
  <w:style w:type="paragraph" w:customStyle="1" w:styleId="Header3">
    <w:name w:val="Header 3"/>
    <w:basedOn w:val="Heading3"/>
    <w:qFormat/>
    <w:rsid w:val="003F0FC9"/>
    <w:pPr>
      <w:numPr>
        <w:ilvl w:val="0"/>
        <w:numId w:val="0"/>
      </w:numPr>
      <w:ind w:left="510" w:hanging="510"/>
    </w:pPr>
    <w:rPr>
      <w:color w:val="3C3C3B" w:themeColor="accent2"/>
      <w:sz w:val="28"/>
      <w:szCs w:val="28"/>
    </w:rPr>
  </w:style>
  <w:style w:type="paragraph" w:customStyle="1" w:styleId="Header4">
    <w:name w:val="Header 4"/>
    <w:basedOn w:val="Heading4"/>
    <w:qFormat/>
    <w:rsid w:val="003F0FC9"/>
    <w:rPr>
      <w:b w:val="0"/>
      <w:bCs w:val="0"/>
      <w:color w:val="3C3C3B" w:themeColor="accent2"/>
      <w:sz w:val="28"/>
      <w:szCs w:val="28"/>
    </w:rPr>
  </w:style>
  <w:style w:type="character" w:styleId="Hyperlink">
    <w:name w:val="Hyperlink"/>
    <w:basedOn w:val="DefaultParagraphFont"/>
    <w:unhideWhenUsed/>
    <w:rsid w:val="002555CA"/>
    <w:rPr>
      <w:color w:val="3CB28C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555CA"/>
    <w:pPr>
      <w:widowControl w:val="0"/>
      <w:spacing w:after="0" w:line="240" w:lineRule="auto"/>
      <w:ind w:left="112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55C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2555CA"/>
    <w:rPr>
      <w:color w:val="3C3C3B" w:themeColor="accent2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rsid w:val="0025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55CA"/>
    <w:pPr>
      <w:spacing w:after="0" w:line="240" w:lineRule="auto"/>
    </w:pPr>
    <w:rPr>
      <w:color w:val="000000" w:themeColor="text2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CA"/>
    <w:rPr>
      <w:color w:val="000000" w:themeColor="text2"/>
      <w:sz w:val="20"/>
      <w:szCs w:val="20"/>
    </w:rPr>
  </w:style>
  <w:style w:type="character" w:styleId="Strong">
    <w:name w:val="Strong"/>
    <w:basedOn w:val="DefaultParagraphFont"/>
    <w:uiPriority w:val="22"/>
    <w:qFormat/>
    <w:rsid w:val="002555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7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16036"/>
    <w:rPr>
      <w:color w:val="3CB2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hdruk.ac.uk/news/uk-health-data-research-alliance-welcomes-new-memb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druk.ac.uk/about-us/our-strategy/annual-report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hdruk.ac.uk/news/new-research-reveals-fundamental-change-in-the-omicron-varia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druk.ac.uk/case-studies/patient-centric-characterization-of-multimorbidity-trajectories-in-patients-with-severe-mental-illnesses-a-temporal-bipartite-network-modeling-approach/" TargetMode="External"/><Relationship Id="rId20" Type="http://schemas.openxmlformats.org/officeDocument/2006/relationships/hyperlink" Target="https://www.hdruk.ac.uk/wp-content/uploads/2021/04/Improving-UK-Health-Data-Impacts-from-Health-Data-Research-Hubs-v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druk.ac.uk/research/case-studies/" TargetMode="External"/><Relationship Id="rId23" Type="http://schemas.openxmlformats.org/officeDocument/2006/relationships/hyperlink" Target="mailto:procurement@hdruk.ac.uk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druk.ac.uk/news/bhf-data-science-centre-research-showcase-repo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druk.ac.uk/wp-content/uploads/2022/02/220204_Section-1-Overview-of-HDR-UK_FINAL_PUBLISHED.pdf" TargetMode="External"/><Relationship Id="rId22" Type="http://schemas.openxmlformats.org/officeDocument/2006/relationships/hyperlink" Target="mailto:procurement@hdru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Sanders-Wilde\AppData\Local\Microsoft\Windows\INetCache\Content.Outlook\86UQEW3S\HDR%20UK%20Report%20template.dotx" TargetMode="External"/></Relationships>
</file>

<file path=word/theme/theme1.xml><?xml version="1.0" encoding="utf-8"?>
<a:theme xmlns:a="http://schemas.openxmlformats.org/drawingml/2006/main" name="HDRUK">
  <a:themeElements>
    <a:clrScheme name="UKHDR Alliance 1">
      <a:dk1>
        <a:srgbClr val="3CB28C"/>
      </a:dk1>
      <a:lt1>
        <a:srgbClr val="FFFFFF"/>
      </a:lt1>
      <a:dk2>
        <a:srgbClr val="000000"/>
      </a:dk2>
      <a:lt2>
        <a:srgbClr val="E7E6E6"/>
      </a:lt2>
      <a:accent1>
        <a:srgbClr val="475DA7"/>
      </a:accent1>
      <a:accent2>
        <a:srgbClr val="3C3C3B"/>
      </a:accent2>
      <a:accent3>
        <a:srgbClr val="ADDAD9"/>
      </a:accent3>
      <a:accent4>
        <a:srgbClr val="D1D7DA"/>
      </a:accent4>
      <a:accent5>
        <a:srgbClr val="28235C"/>
      </a:accent5>
      <a:accent6>
        <a:srgbClr val="E66400"/>
      </a:accent6>
      <a:hlink>
        <a:srgbClr val="3CB28C"/>
      </a:hlink>
      <a:folHlink>
        <a:srgbClr val="3CB2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DRUK" id="{4BD2F37C-69D8-7A4C-9BDD-B816781797BB}" vid="{0194A2B8-F096-584D-BA23-143119D06C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9A475D6F8DA4E8280DDF484074B0B" ma:contentTypeVersion="12" ma:contentTypeDescription="Create a new document." ma:contentTypeScope="" ma:versionID="98e35be635dd89faab03d41b6abb5414">
  <xsd:schema xmlns:xsd="http://www.w3.org/2001/XMLSchema" xmlns:xs="http://www.w3.org/2001/XMLSchema" xmlns:p="http://schemas.microsoft.com/office/2006/metadata/properties" xmlns:ns2="9385b943-e7b2-4596-a4af-ffbd1caaf848" xmlns:ns3="ccbae2f4-5335-4f1c-b55a-81c98636ec1c" targetNamespace="http://schemas.microsoft.com/office/2006/metadata/properties" ma:root="true" ma:fieldsID="a14a61b50681238271672b23b94c5556" ns2:_="" ns3:_="">
    <xsd:import namespace="9385b943-e7b2-4596-a4af-ffbd1caaf848"/>
    <xsd:import namespace="ccbae2f4-5335-4f1c-b55a-81c98636e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5b943-e7b2-4596-a4af-ffbd1caaf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2f4-5335-4f1c-b55a-81c98636e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F896B-E8CE-441F-A80B-FE1234655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A30F2-84C7-450D-BF47-5096CA17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5b943-e7b2-4596-a4af-ffbd1caaf848"/>
    <ds:schemaRef ds:uri="ccbae2f4-5335-4f1c-b55a-81c98636e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27AEE-F336-4B00-975A-523260BBE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EB2D0-639C-466C-93E2-DE8D33636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HDR UK Report template</Template>
  <TotalTime>2</TotalTime>
  <Pages>12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Victoria Platt</dc:creator>
  <cp:keywords/>
  <dc:description/>
  <cp:lastModifiedBy>Chris Cliffe</cp:lastModifiedBy>
  <cp:revision>4</cp:revision>
  <cp:lastPrinted>2015-03-11T10:16:00Z</cp:lastPrinted>
  <dcterms:created xsi:type="dcterms:W3CDTF">2022-08-15T15:38:00Z</dcterms:created>
  <dcterms:modified xsi:type="dcterms:W3CDTF">2022-08-15T15:39:00Z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0x01010023A9A475D6F8DA4E8280DDF484074B0B</vt:lpwstr>
  </property>
</Properties>
</file>